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62CD" w14:textId="77777777" w:rsidR="007C52C7" w:rsidRPr="00A06E48" w:rsidRDefault="007C52C7" w:rsidP="007C52C7">
      <w:pPr>
        <w:jc w:val="center"/>
        <w:rPr>
          <w:rFonts w:cs="Times New Roman"/>
          <w:b/>
        </w:rPr>
      </w:pPr>
      <w:r w:rsidRPr="00A06E48">
        <w:rPr>
          <w:rFonts w:cs="Times New Roman"/>
          <w:b/>
        </w:rPr>
        <w:t>An ACLU</w:t>
      </w:r>
      <w:r>
        <w:rPr>
          <w:rFonts w:cs="Times New Roman"/>
          <w:b/>
        </w:rPr>
        <w:t xml:space="preserve">-PA </w:t>
      </w:r>
      <w:r w:rsidRPr="00A06E48">
        <w:rPr>
          <w:rFonts w:cs="Times New Roman"/>
          <w:b/>
        </w:rPr>
        <w:t xml:space="preserve">Guide to </w:t>
      </w:r>
      <w:r w:rsidR="00517B35">
        <w:rPr>
          <w:rFonts w:cs="Times New Roman"/>
          <w:b/>
        </w:rPr>
        <w:t>the Imposition of</w:t>
      </w:r>
      <w:r w:rsidRPr="00A06E48">
        <w:rPr>
          <w:rFonts w:cs="Times New Roman"/>
          <w:b/>
        </w:rPr>
        <w:t xml:space="preserve"> Fines, Costs, </w:t>
      </w:r>
      <w:r>
        <w:rPr>
          <w:rFonts w:cs="Times New Roman"/>
          <w:b/>
        </w:rPr>
        <w:t>or</w:t>
      </w:r>
      <w:r w:rsidRPr="00A06E48">
        <w:rPr>
          <w:rFonts w:cs="Times New Roman"/>
          <w:b/>
        </w:rPr>
        <w:t xml:space="preserve"> Restitution</w:t>
      </w:r>
      <w:r>
        <w:rPr>
          <w:rFonts w:cs="Times New Roman"/>
          <w:b/>
        </w:rPr>
        <w:t xml:space="preserve"> at Sentencing</w:t>
      </w:r>
    </w:p>
    <w:p w14:paraId="60B73A52" w14:textId="77777777" w:rsidR="007C52C7" w:rsidRPr="00A06E48" w:rsidRDefault="007C52C7" w:rsidP="007C52C7">
      <w:pPr>
        <w:rPr>
          <w:rFonts w:cs="Times New Roman"/>
          <w:b/>
        </w:rPr>
      </w:pPr>
    </w:p>
    <w:p w14:paraId="704552B3" w14:textId="23C7C896" w:rsidR="00C305A8" w:rsidRDefault="00C305A8" w:rsidP="00C305A8">
      <w:pPr>
        <w:rPr>
          <w:rFonts w:cs="Times New Roman"/>
        </w:rPr>
      </w:pPr>
      <w:r>
        <w:rPr>
          <w:rFonts w:cs="Times New Roman"/>
        </w:rPr>
        <w:t xml:space="preserve">Individuals convicted of misdemeanors or felonies face not only jail time, but also substantial financial obligations in the form of fines, costs, or restitution. </w:t>
      </w:r>
      <w:r w:rsidR="00517B35">
        <w:rPr>
          <w:rFonts w:cs="Times New Roman"/>
        </w:rPr>
        <w:t>These obligations can follow defendants for years or even decades, long after they have completed their jail sentences and any period of probation. They also face do</w:t>
      </w:r>
      <w:r w:rsidR="009103C2">
        <w:rPr>
          <w:rFonts w:cs="Times New Roman"/>
        </w:rPr>
        <w:t>wnstream consequences if they do not—or cannot—pay, such as contempt hearings, driver’s license suspension, or jail. We intend this Guide to help attorneys and judges understand the law that governs imposing fines, costs, and restitution</w:t>
      </w:r>
      <w:r w:rsidR="000246F6">
        <w:rPr>
          <w:rFonts w:cs="Times New Roman"/>
        </w:rPr>
        <w:t xml:space="preserve"> in criminal and summary cases</w:t>
      </w:r>
      <w:r w:rsidR="009103C2">
        <w:rPr>
          <w:rFonts w:cs="Times New Roman"/>
        </w:rPr>
        <w:t>.</w:t>
      </w:r>
      <w:r w:rsidR="009103C2">
        <w:rPr>
          <w:rStyle w:val="FootnoteReference"/>
          <w:rFonts w:cs="Times New Roman"/>
        </w:rPr>
        <w:footnoteReference w:id="1"/>
      </w:r>
    </w:p>
    <w:p w14:paraId="2E8280FC" w14:textId="77777777" w:rsidR="007C52C7" w:rsidRDefault="007C52C7"/>
    <w:p w14:paraId="5F9B0302" w14:textId="77777777" w:rsidR="007C52C7" w:rsidRDefault="00D07CCC">
      <w:pPr>
        <w:rPr>
          <w:b/>
        </w:rPr>
      </w:pPr>
      <w:r>
        <w:rPr>
          <w:b/>
          <w:u w:val="single"/>
        </w:rPr>
        <w:t xml:space="preserve">Fines, costs and restitution: </w:t>
      </w:r>
      <w:r w:rsidR="00AD66E1">
        <w:rPr>
          <w:b/>
          <w:u w:val="single"/>
        </w:rPr>
        <w:t xml:space="preserve">each has </w:t>
      </w:r>
      <w:r>
        <w:rPr>
          <w:b/>
          <w:u w:val="single"/>
        </w:rPr>
        <w:t>separate requirements at sentencing.</w:t>
      </w:r>
    </w:p>
    <w:p w14:paraId="58CF5E28" w14:textId="77777777" w:rsidR="00D07CCC" w:rsidRDefault="002E7492" w:rsidP="002E7492">
      <w:pPr>
        <w:tabs>
          <w:tab w:val="left" w:pos="3685"/>
        </w:tabs>
        <w:rPr>
          <w:b/>
        </w:rPr>
      </w:pPr>
      <w:r>
        <w:rPr>
          <w:b/>
        </w:rPr>
        <w:tab/>
      </w:r>
    </w:p>
    <w:p w14:paraId="265C1D18" w14:textId="77777777" w:rsidR="007A746E" w:rsidRDefault="00EC7BB6" w:rsidP="00EC7BB6">
      <w:r>
        <w:rPr>
          <w:b/>
        </w:rPr>
        <w:t>Fines:</w:t>
      </w:r>
      <w:r>
        <w:t xml:space="preserve"> </w:t>
      </w:r>
      <w:r w:rsidR="001E1877">
        <w:t>Fines are “</w:t>
      </w:r>
      <w:r w:rsidR="001E1877" w:rsidRPr="00F6565E">
        <w:t>direct consequences and, therefore, punishment</w:t>
      </w:r>
      <w:r w:rsidR="001E1877">
        <w:t>.”</w:t>
      </w:r>
      <w:r w:rsidR="001E1877">
        <w:rPr>
          <w:rStyle w:val="FootnoteReference"/>
        </w:rPr>
        <w:footnoteReference w:id="2"/>
      </w:r>
      <w:r w:rsidR="001E1877">
        <w:t xml:space="preserve"> They are part of the sentence, are intended to be punitive, and </w:t>
      </w:r>
      <w:r w:rsidR="00D87744">
        <w:t>might</w:t>
      </w:r>
      <w:r w:rsidR="001E1877">
        <w:t xml:space="preserve"> be the only sentence imposed (particularly in a summary case).</w:t>
      </w:r>
      <w:r w:rsidR="00A52A41">
        <w:t xml:space="preserve"> </w:t>
      </w:r>
      <w:r w:rsidR="00FA53D1">
        <w:t>When a court</w:t>
      </w:r>
      <w:r w:rsidR="00D87744">
        <w:t xml:space="preserve"> imposes a fine, it must consider the defendant’s ability to pay: </w:t>
      </w:r>
    </w:p>
    <w:p w14:paraId="36D4DF29" w14:textId="77777777" w:rsidR="007A746E" w:rsidRDefault="007A746E" w:rsidP="00EC7BB6"/>
    <w:p w14:paraId="1F81FFA3" w14:textId="4DF71277" w:rsidR="00D87744" w:rsidRDefault="00D84DC6" w:rsidP="00937F6B">
      <w:pPr>
        <w:pStyle w:val="ListParagraph"/>
        <w:numPr>
          <w:ilvl w:val="0"/>
          <w:numId w:val="3"/>
        </w:numPr>
      </w:pPr>
      <w:r>
        <w:t xml:space="preserve">42 Pa.C.S. </w:t>
      </w:r>
      <w:r w:rsidR="002053CF">
        <w:t>§ 9726(c) prohibits a court from sentencing a defendant to pay a fine “unless it appears of record that: (1) the defendant is or will be able to pay the fine; and (2)  the fine will not prevent the defendant from making restitution or reparation to the victim of the crime.”</w:t>
      </w:r>
    </w:p>
    <w:p w14:paraId="5938DE97" w14:textId="6313C0B7" w:rsidR="002053CF" w:rsidRDefault="002053CF" w:rsidP="002053CF">
      <w:pPr>
        <w:pStyle w:val="ListParagraph"/>
        <w:numPr>
          <w:ilvl w:val="0"/>
          <w:numId w:val="3"/>
        </w:numPr>
      </w:pPr>
      <w:r>
        <w:t>42 Pa</w:t>
      </w:r>
      <w:r w:rsidR="00D84DC6">
        <w:t>.C.S.</w:t>
      </w:r>
      <w:r>
        <w:t xml:space="preserve"> § 9726(d) requires that, in “</w:t>
      </w:r>
      <w:r w:rsidRPr="002053CF">
        <w:t>determining the amount and method of payment of a fine, the court shall take into account the financial resources of the defendant and the nature of the burden that its payment will impose.</w:t>
      </w:r>
      <w:r>
        <w:t>”</w:t>
      </w:r>
    </w:p>
    <w:p w14:paraId="75C0208B" w14:textId="77777777" w:rsidR="002053CF" w:rsidRDefault="002053CF" w:rsidP="002053CF">
      <w:pPr>
        <w:pStyle w:val="ListParagraph"/>
        <w:numPr>
          <w:ilvl w:val="0"/>
          <w:numId w:val="3"/>
        </w:numPr>
      </w:pPr>
      <w:r>
        <w:t xml:space="preserve">Pa.R.Crim.P. 706(C) </w:t>
      </w:r>
      <w:r w:rsidR="008E7CC6">
        <w:t>applies in misdemeanor and felony cases only, and it provides</w:t>
      </w:r>
      <w:r>
        <w:t>: “</w:t>
      </w:r>
      <w:r w:rsidRPr="002053CF">
        <w:t>The court, in determining the amount and method of payment of a fine or costs shall, insofar as is just and practicable, consider the burden upon the defendant by reason of the defendant’s financial means, including the defendant’s ability to make restitution or reparations.</w:t>
      </w:r>
      <w:r>
        <w:t>”</w:t>
      </w:r>
      <w:r w:rsidR="007A746E">
        <w:rPr>
          <w:rStyle w:val="FootnoteReference"/>
        </w:rPr>
        <w:footnoteReference w:id="3"/>
      </w:r>
    </w:p>
    <w:p w14:paraId="66AD5E98" w14:textId="77777777" w:rsidR="002053CF" w:rsidRDefault="002053CF" w:rsidP="002053CF"/>
    <w:p w14:paraId="2412CEDA" w14:textId="77777777" w:rsidR="000348E2" w:rsidRDefault="003E617D" w:rsidP="002053CF">
      <w:r>
        <w:t xml:space="preserve">These provisions require that the court: </w:t>
      </w:r>
    </w:p>
    <w:p w14:paraId="00964EAD" w14:textId="77777777" w:rsidR="000348E2" w:rsidRDefault="000348E2" w:rsidP="002053CF"/>
    <w:p w14:paraId="2154EF48" w14:textId="77777777" w:rsidR="000348E2" w:rsidRDefault="003E617D" w:rsidP="000348E2">
      <w:pPr>
        <w:pStyle w:val="ListParagraph"/>
        <w:numPr>
          <w:ilvl w:val="0"/>
          <w:numId w:val="5"/>
        </w:numPr>
      </w:pPr>
      <w:r>
        <w:t xml:space="preserve">consider the defendant’s ability to pay the fine; </w:t>
      </w:r>
    </w:p>
    <w:p w14:paraId="526C6BFB" w14:textId="77777777" w:rsidR="000348E2" w:rsidRDefault="003E617D" w:rsidP="000348E2">
      <w:pPr>
        <w:pStyle w:val="ListParagraph"/>
        <w:numPr>
          <w:ilvl w:val="0"/>
          <w:numId w:val="5"/>
        </w:numPr>
      </w:pPr>
      <w:r>
        <w:t xml:space="preserve">consider the burden that payments will impose; </w:t>
      </w:r>
    </w:p>
    <w:p w14:paraId="247764D3" w14:textId="77777777" w:rsidR="000348E2" w:rsidRDefault="003E617D" w:rsidP="000348E2">
      <w:pPr>
        <w:pStyle w:val="ListParagraph"/>
        <w:numPr>
          <w:ilvl w:val="0"/>
          <w:numId w:val="5"/>
        </w:numPr>
      </w:pPr>
      <w:r>
        <w:t xml:space="preserve">only impose a fine that the defendant will be able to pay; and </w:t>
      </w:r>
    </w:p>
    <w:p w14:paraId="1363AC5A" w14:textId="77777777" w:rsidR="003E617D" w:rsidRDefault="003E617D" w:rsidP="000348E2">
      <w:pPr>
        <w:pStyle w:val="ListParagraph"/>
        <w:numPr>
          <w:ilvl w:val="0"/>
          <w:numId w:val="5"/>
        </w:numPr>
      </w:pPr>
      <w:r>
        <w:t xml:space="preserve">ensure that the fine will not prevent the defendant from paying restitution. </w:t>
      </w:r>
    </w:p>
    <w:p w14:paraId="71D7A6EC" w14:textId="77777777" w:rsidR="003E617D" w:rsidRDefault="003E617D" w:rsidP="002053CF"/>
    <w:p w14:paraId="792BAEB5" w14:textId="77777777" w:rsidR="002053CF" w:rsidRDefault="00316E0B" w:rsidP="002053CF">
      <w:r>
        <w:t xml:space="preserve">To meet these </w:t>
      </w:r>
      <w:r w:rsidR="003632A4">
        <w:t>requirements:</w:t>
      </w:r>
      <w:r>
        <w:t xml:space="preserve"> </w:t>
      </w:r>
    </w:p>
    <w:p w14:paraId="1BDA4314" w14:textId="77777777" w:rsidR="002053CF" w:rsidRDefault="002053CF" w:rsidP="002053CF"/>
    <w:p w14:paraId="1F4C0A58" w14:textId="200846E9" w:rsidR="00D87744" w:rsidRDefault="00D87744" w:rsidP="00D87744">
      <w:pPr>
        <w:pStyle w:val="ListParagraph"/>
        <w:numPr>
          <w:ilvl w:val="0"/>
          <w:numId w:val="3"/>
        </w:numPr>
      </w:pPr>
      <w:r>
        <w:lastRenderedPageBreak/>
        <w:t>The court must make a finding on the record regarding the defendant’s financial resources and ability to pay a fine.</w:t>
      </w:r>
      <w:r>
        <w:rPr>
          <w:rStyle w:val="FootnoteReference"/>
        </w:rPr>
        <w:footnoteReference w:id="4"/>
      </w:r>
      <w:r w:rsidR="00C53B21">
        <w:t xml:space="preserve"> The trial court does not necessarily have to hold a hearing, as the information in a pre-sentence investigation or the defendant’s statement that he will be able to pay the fine can be sufficient to determine whether he is able to pay.</w:t>
      </w:r>
      <w:r w:rsidR="00C53B21">
        <w:rPr>
          <w:rStyle w:val="FootnoteReference"/>
        </w:rPr>
        <w:footnoteReference w:id="5"/>
      </w:r>
    </w:p>
    <w:p w14:paraId="6447F39B" w14:textId="093F2948" w:rsidR="005C758E" w:rsidRDefault="002F07F0" w:rsidP="00105D20">
      <w:pPr>
        <w:pStyle w:val="ListParagraph"/>
        <w:numPr>
          <w:ilvl w:val="0"/>
          <w:numId w:val="3"/>
        </w:numPr>
      </w:pPr>
      <w:r>
        <w:t xml:space="preserve">Even </w:t>
      </w:r>
      <w:r w:rsidR="006108D3">
        <w:t>if the defendant pleads guilty</w:t>
      </w:r>
      <w:r w:rsidR="006108D3">
        <w:rPr>
          <w:rStyle w:val="FootnoteReference"/>
        </w:rPr>
        <w:footnoteReference w:id="6"/>
      </w:r>
      <w:r w:rsidR="006108D3">
        <w:t xml:space="preserve"> or waives a pre-sentence investigation,</w:t>
      </w:r>
      <w:r w:rsidR="006108D3">
        <w:rPr>
          <w:rStyle w:val="FootnoteReference"/>
        </w:rPr>
        <w:footnoteReference w:id="7"/>
      </w:r>
      <w:r>
        <w:t xml:space="preserve"> the court must still determine whether he can pay a fine before imposing it.</w:t>
      </w:r>
      <w:r w:rsidR="00602275">
        <w:t xml:space="preserve"> </w:t>
      </w:r>
    </w:p>
    <w:p w14:paraId="43358EA9" w14:textId="1F1430BA" w:rsidR="007A4238" w:rsidRDefault="00C53B21" w:rsidP="005C758E">
      <w:pPr>
        <w:pStyle w:val="ListParagraph"/>
        <w:numPr>
          <w:ilvl w:val="1"/>
          <w:numId w:val="3"/>
        </w:numPr>
      </w:pPr>
      <w:r>
        <w:t xml:space="preserve">However, if the </w:t>
      </w:r>
      <w:r w:rsidR="005C758E">
        <w:t>defendant enters into a negotiated guilty plea to pay a specific dollar amount, and the trial court determines that he will be unable to pay that amount, the trial court must reject the plea.</w:t>
      </w:r>
      <w:r w:rsidR="005C758E">
        <w:rPr>
          <w:rStyle w:val="FootnoteReference"/>
        </w:rPr>
        <w:footnoteReference w:id="8"/>
      </w:r>
      <w:r w:rsidR="005C758E">
        <w:t xml:space="preserve"> To avoid this problem, negotiated pleas should leave the dollar figure for the fine up to the trial court.  </w:t>
      </w:r>
    </w:p>
    <w:p w14:paraId="78AEC82D" w14:textId="77777777" w:rsidR="00CC3389" w:rsidRDefault="007A4238" w:rsidP="00105D20">
      <w:pPr>
        <w:pStyle w:val="ListParagraph"/>
        <w:numPr>
          <w:ilvl w:val="0"/>
          <w:numId w:val="3"/>
        </w:numPr>
      </w:pPr>
      <w:r>
        <w:t>If the trial court fails to perform this inquiry, it cannot lawfully impose a fine.</w:t>
      </w:r>
      <w:r>
        <w:rPr>
          <w:rStyle w:val="FootnoteReference"/>
        </w:rPr>
        <w:footnoteReference w:id="9"/>
      </w:r>
      <w:r>
        <w:t xml:space="preserve"> </w:t>
      </w:r>
    </w:p>
    <w:p w14:paraId="64425DEE" w14:textId="35BA1B2B" w:rsidR="004F2932" w:rsidRDefault="004F2932" w:rsidP="00105D20">
      <w:pPr>
        <w:pStyle w:val="ListParagraph"/>
        <w:numPr>
          <w:ilvl w:val="0"/>
          <w:numId w:val="3"/>
        </w:numPr>
      </w:pPr>
      <w:r>
        <w:t xml:space="preserve">Still, </w:t>
      </w:r>
      <w:r w:rsidR="006226C7">
        <w:t>a court may impose a fine</w:t>
      </w:r>
      <w:r>
        <w:t xml:space="preserve"> even if the defendant does not have the </w:t>
      </w:r>
      <w:r>
        <w:rPr>
          <w:i/>
        </w:rPr>
        <w:t>present</w:t>
      </w:r>
      <w:r>
        <w:t xml:space="preserve"> ability to pay it, as § 9726 permits </w:t>
      </w:r>
      <w:r w:rsidR="003D054B">
        <w:t>a court to impose a fin</w:t>
      </w:r>
      <w:r w:rsidR="002317E5">
        <w:t>e</w:t>
      </w:r>
      <w:r w:rsidR="003D054B">
        <w:t xml:space="preserve"> that the</w:t>
      </w:r>
      <w:r>
        <w:t xml:space="preserve"> defendant “will” be able to pay.</w:t>
      </w:r>
      <w:r w:rsidR="006226C7">
        <w:rPr>
          <w:rStyle w:val="FootnoteReference"/>
        </w:rPr>
        <w:footnoteReference w:id="10"/>
      </w:r>
    </w:p>
    <w:p w14:paraId="611A6FC4" w14:textId="77777777" w:rsidR="00D87744" w:rsidRDefault="00D87744" w:rsidP="00D87744"/>
    <w:p w14:paraId="4E3E9927" w14:textId="122629FE" w:rsidR="00EC7BB6" w:rsidRDefault="00502D31" w:rsidP="00EC7BB6">
      <w:r>
        <w:t xml:space="preserve">The </w:t>
      </w:r>
      <w:r w:rsidR="00C53B21">
        <w:t xml:space="preserve">Supreme Court and </w:t>
      </w:r>
      <w:r>
        <w:t>Superior C</w:t>
      </w:r>
      <w:r w:rsidR="00F877BF">
        <w:t xml:space="preserve">ourt </w:t>
      </w:r>
      <w:r w:rsidR="00602275">
        <w:t>have</w:t>
      </w:r>
      <w:r w:rsidR="00F877BF">
        <w:t xml:space="preserve"> repeatedly invalidated </w:t>
      </w:r>
      <w:r>
        <w:t>fines that trial courts imposed without adhering to these requirements.</w:t>
      </w:r>
      <w:r>
        <w:rPr>
          <w:rStyle w:val="FootnoteReference"/>
        </w:rPr>
        <w:footnoteReference w:id="11"/>
      </w:r>
      <w:r w:rsidR="004500D1">
        <w:t xml:space="preserve"> </w:t>
      </w:r>
      <w:r w:rsidR="00602275">
        <w:t>However, the Superior Court has ruled</w:t>
      </w:r>
      <w:r w:rsidR="00B33176">
        <w:t xml:space="preserve"> </w:t>
      </w:r>
      <w:r w:rsidR="004500D1">
        <w:t>that “mandatory” fines are not subject to § 9276(c) and (d).</w:t>
      </w:r>
      <w:r w:rsidR="004500D1">
        <w:rPr>
          <w:rStyle w:val="FootnoteReference"/>
        </w:rPr>
        <w:footnoteReference w:id="12"/>
      </w:r>
    </w:p>
    <w:p w14:paraId="606E3DF2" w14:textId="77777777" w:rsidR="00213A7A" w:rsidRDefault="00213A7A" w:rsidP="00EC7BB6"/>
    <w:p w14:paraId="004B5392" w14:textId="6A36A3D4" w:rsidR="00213A7A" w:rsidRDefault="00213A7A" w:rsidP="00EC7BB6">
      <w:r>
        <w:t>A defendant can challenge the imposition of a fine for the first time on appeal</w:t>
      </w:r>
      <w:r w:rsidR="004874F8">
        <w:t xml:space="preserve"> if the defendant is challenging either a fine that is not authorized by law or the trial court’s failure to consider the defendant’s ability to pay</w:t>
      </w:r>
      <w:r>
        <w:t>.</w:t>
      </w:r>
      <w:r>
        <w:rPr>
          <w:rStyle w:val="FootnoteReference"/>
        </w:rPr>
        <w:footnoteReference w:id="13"/>
      </w:r>
      <w:r w:rsidR="004874F8">
        <w:t xml:space="preserve"> By contrast, a challenge to the court’s exercise of its discretion to impose a specific dollar amount based on the defendant’s financial circumstances must be raised either at sentencing or in a post-sentencing motion.</w:t>
      </w:r>
      <w:r w:rsidR="00CB2D7E">
        <w:rPr>
          <w:rStyle w:val="FootnoteReference"/>
        </w:rPr>
        <w:footnoteReference w:id="14"/>
      </w:r>
      <w:r w:rsidR="004874F8">
        <w:t xml:space="preserve"> </w:t>
      </w:r>
    </w:p>
    <w:p w14:paraId="52865D09" w14:textId="77777777" w:rsidR="00EC7BB6" w:rsidRDefault="00EC7BB6" w:rsidP="00EC7BB6"/>
    <w:p w14:paraId="07AC0361" w14:textId="49000E58" w:rsidR="007C52C7" w:rsidRDefault="00EC7BB6" w:rsidP="00EC7BB6">
      <w:r>
        <w:rPr>
          <w:b/>
        </w:rPr>
        <w:t>Costs:</w:t>
      </w:r>
      <w:r>
        <w:t xml:space="preserve"> </w:t>
      </w:r>
      <w:r w:rsidR="00F877BF">
        <w:t>Costs “</w:t>
      </w:r>
      <w:r w:rsidR="00F877BF" w:rsidRPr="00F6565E">
        <w:t>are a reimbursement to the government for the expenses associated with the criminal prosecution.</w:t>
      </w:r>
      <w:r w:rsidR="00F877BF">
        <w:t>” These are “akin to collateral consequences” and “</w:t>
      </w:r>
      <w:r w:rsidR="00F877BF" w:rsidRPr="00F6565E">
        <w:t>are not part of the criminal's sentence but are merely incident to the judgment</w:t>
      </w:r>
      <w:r w:rsidR="00F877BF">
        <w:t>.</w:t>
      </w:r>
      <w:r w:rsidR="002138DC">
        <w:t>”</w:t>
      </w:r>
      <w:r w:rsidR="00F877BF">
        <w:rPr>
          <w:rStyle w:val="FootnoteReference"/>
        </w:rPr>
        <w:footnoteReference w:id="15"/>
      </w:r>
      <w:r w:rsidR="004874F8">
        <w:t xml:space="preserve"> </w:t>
      </w:r>
    </w:p>
    <w:p w14:paraId="6D0A634C" w14:textId="77777777" w:rsidR="00F877BF" w:rsidRDefault="00F877BF" w:rsidP="00EC7BB6"/>
    <w:p w14:paraId="42904A41" w14:textId="77777777" w:rsidR="00AA14AB" w:rsidRPr="00AA14AB" w:rsidRDefault="00AA14AB" w:rsidP="00EC7BB6">
      <w:r>
        <w:t xml:space="preserve">Although there is a common view that costs are “mandatory,” a 2010 statutory amendment gives courts discretion to reduce or waive costs based on the defendant’s financial circumstances. There is an unsettled legal question of whether the court </w:t>
      </w:r>
      <w:r>
        <w:rPr>
          <w:i/>
        </w:rPr>
        <w:t>must</w:t>
      </w:r>
      <w:r>
        <w:t xml:space="preserve"> consider the defendant</w:t>
      </w:r>
      <w:r w:rsidR="002E7492">
        <w:t>’</w:t>
      </w:r>
      <w:r>
        <w:t xml:space="preserve">s ability to pay, or merely </w:t>
      </w:r>
      <w:r>
        <w:rPr>
          <w:i/>
        </w:rPr>
        <w:t>may</w:t>
      </w:r>
      <w:r>
        <w:t xml:space="preserve"> exercise that discretion. Either way, the</w:t>
      </w:r>
      <w:r w:rsidR="000824B2">
        <w:t xml:space="preserve"> law is clear that all costs </w:t>
      </w:r>
      <w:r w:rsidR="000824B2" w:rsidRPr="00D2321D">
        <w:rPr>
          <w:i/>
        </w:rPr>
        <w:t>can</w:t>
      </w:r>
      <w:r w:rsidR="000824B2">
        <w:t xml:space="preserve"> be reduced or waived</w:t>
      </w:r>
      <w:r>
        <w:t>:</w:t>
      </w:r>
    </w:p>
    <w:p w14:paraId="347D6BF7" w14:textId="77777777" w:rsidR="00AA14AB" w:rsidRDefault="00AA14AB" w:rsidP="00EC7BB6"/>
    <w:p w14:paraId="4AA3C017" w14:textId="0467ADBF" w:rsidR="00866F8C" w:rsidRDefault="00067F7F" w:rsidP="00067F7F">
      <w:pPr>
        <w:pStyle w:val="ListParagraph"/>
        <w:numPr>
          <w:ilvl w:val="0"/>
          <w:numId w:val="7"/>
        </w:numPr>
      </w:pPr>
      <w:r>
        <w:rPr>
          <w:u w:val="single"/>
        </w:rPr>
        <w:t>All costs are waivable</w:t>
      </w:r>
      <w:r>
        <w:t xml:space="preserve">: </w:t>
      </w:r>
      <w:r w:rsidR="00D84DC6">
        <w:t xml:space="preserve">42 Pa.C.S. </w:t>
      </w:r>
      <w:r w:rsidR="00866F8C">
        <w:t>§ 9728(b.2) makes defendants automatically liable for costs “unless the court determines otherwise pursuant to Pa.R.Crim.P. No. 706(C).”</w:t>
      </w:r>
      <w:r w:rsidR="003E7845">
        <w:rPr>
          <w:rStyle w:val="FootnoteReference"/>
        </w:rPr>
        <w:footnoteReference w:id="16"/>
      </w:r>
      <w:r w:rsidR="00866F8C">
        <w:t xml:space="preserve"> </w:t>
      </w:r>
    </w:p>
    <w:p w14:paraId="070D18A3" w14:textId="77777777" w:rsidR="00067F7F" w:rsidRDefault="00866F8C" w:rsidP="00866F8C">
      <w:pPr>
        <w:pStyle w:val="ListParagraph"/>
        <w:numPr>
          <w:ilvl w:val="1"/>
          <w:numId w:val="7"/>
        </w:numPr>
      </w:pPr>
      <w:r>
        <w:t>This provision was adopted in 2010 and applies “[n]otwithstanding any provision of law to the contrary,” meaning that</w:t>
      </w:r>
      <w:r w:rsidR="007878A8">
        <w:t xml:space="preserve"> even if it conflicts with any other statutes that impost costs,</w:t>
      </w:r>
      <w:r>
        <w:t xml:space="preserve"> it takes precedence over any older statutes that impose specific costs.</w:t>
      </w:r>
      <w:r>
        <w:rPr>
          <w:rStyle w:val="FootnoteReference"/>
        </w:rPr>
        <w:footnoteReference w:id="17"/>
      </w:r>
    </w:p>
    <w:p w14:paraId="1C76D65F" w14:textId="15297CC7" w:rsidR="00BB2FEC" w:rsidRDefault="00BB2FEC" w:rsidP="00866F8C">
      <w:pPr>
        <w:pStyle w:val="ListParagraph"/>
        <w:numPr>
          <w:ilvl w:val="1"/>
          <w:numId w:val="7"/>
        </w:numPr>
      </w:pPr>
      <w:r>
        <w:t>The legislative history explains that the amendment was intended to allow the “sentencing court” to “</w:t>
      </w:r>
      <w:r w:rsidRPr="0013394E">
        <w:t>retain all discretion to modify or even waive costs in an appropriate case</w:t>
      </w:r>
      <w:r>
        <w:t>.”</w:t>
      </w:r>
      <w:r>
        <w:rPr>
          <w:rStyle w:val="FootnoteReference"/>
        </w:rPr>
        <w:footnoteReference w:id="18"/>
      </w:r>
    </w:p>
    <w:p w14:paraId="73A498E2" w14:textId="66B80E47" w:rsidR="00D2321D" w:rsidRDefault="00D2321D" w:rsidP="00D2321D">
      <w:pPr>
        <w:pStyle w:val="ListParagraph"/>
        <w:numPr>
          <w:ilvl w:val="1"/>
          <w:numId w:val="7"/>
        </w:numPr>
      </w:pPr>
      <w:r>
        <w:t>The Superior Court has stated in a published opinion that the “</w:t>
      </w:r>
      <w:r w:rsidRPr="00D2321D">
        <w:t>trial court may also provide that a defendant shall not be liable for costs under Rule 706.</w:t>
      </w:r>
      <w:r>
        <w:t>”</w:t>
      </w:r>
      <w:r>
        <w:rPr>
          <w:rStyle w:val="FootnoteReference"/>
        </w:rPr>
        <w:footnoteReference w:id="19"/>
      </w:r>
    </w:p>
    <w:p w14:paraId="026900FE" w14:textId="77777777" w:rsidR="003E7845" w:rsidRDefault="003E7845" w:rsidP="003E7845">
      <w:pPr>
        <w:pStyle w:val="ListParagraph"/>
        <w:ind w:left="1440"/>
      </w:pPr>
    </w:p>
    <w:p w14:paraId="33A78A3D" w14:textId="2CDE648A" w:rsidR="00AD1880" w:rsidRDefault="00AA3343" w:rsidP="00AD5FC3">
      <w:pPr>
        <w:pStyle w:val="ListParagraph"/>
        <w:numPr>
          <w:ilvl w:val="0"/>
          <w:numId w:val="6"/>
        </w:numPr>
      </w:pPr>
      <w:r>
        <w:rPr>
          <w:u w:val="single"/>
        </w:rPr>
        <w:t xml:space="preserve">The </w:t>
      </w:r>
      <w:r w:rsidR="00114C2D">
        <w:rPr>
          <w:u w:val="single"/>
        </w:rPr>
        <w:t xml:space="preserve">sentencing </w:t>
      </w:r>
      <w:r>
        <w:rPr>
          <w:u w:val="single"/>
        </w:rPr>
        <w:t>court should consider the defendant’s ability-to-pay costs at sentencing</w:t>
      </w:r>
      <w:r w:rsidR="00E0173D">
        <w:t xml:space="preserve">: The unresolved question is whether the court </w:t>
      </w:r>
      <w:r w:rsidR="00E0173D">
        <w:rPr>
          <w:i/>
        </w:rPr>
        <w:t>must</w:t>
      </w:r>
      <w:r w:rsidR="00E0173D">
        <w:t xml:space="preserve"> consider the defendant</w:t>
      </w:r>
      <w:r w:rsidR="002E7492">
        <w:t>’</w:t>
      </w:r>
      <w:r w:rsidR="00E0173D">
        <w:t xml:space="preserve">s ability to pay, or merely </w:t>
      </w:r>
      <w:r w:rsidR="00E0173D">
        <w:rPr>
          <w:i/>
        </w:rPr>
        <w:t>may</w:t>
      </w:r>
      <w:r w:rsidR="00E0173D">
        <w:t xml:space="preserve"> exercise that discretion.</w:t>
      </w:r>
    </w:p>
    <w:p w14:paraId="3D6F08C6" w14:textId="77777777" w:rsidR="00E0173D" w:rsidRDefault="00E0173D" w:rsidP="00E0173D">
      <w:pPr>
        <w:pStyle w:val="ListParagraph"/>
        <w:numPr>
          <w:ilvl w:val="1"/>
          <w:numId w:val="6"/>
        </w:numPr>
      </w:pPr>
      <w:r>
        <w:t xml:space="preserve">Rule 706(C) </w:t>
      </w:r>
      <w:r w:rsidR="00BB449D">
        <w:t xml:space="preserve">applies at sentencing and uses mandatory language that the court “shall” consider the burden on the defendant when determining the “amount and method of payment of a fine or costs.” </w:t>
      </w:r>
    </w:p>
    <w:p w14:paraId="67B059C3" w14:textId="6E682E10" w:rsidR="00BB449D" w:rsidRDefault="009B57B2" w:rsidP="00E0173D">
      <w:pPr>
        <w:pStyle w:val="ListParagraph"/>
        <w:numPr>
          <w:ilvl w:val="1"/>
          <w:numId w:val="6"/>
        </w:numPr>
      </w:pPr>
      <w:r>
        <w:lastRenderedPageBreak/>
        <w:t xml:space="preserve">In a series of opinions starting in 1975, the Superior Court invalidated sentences for not following Rule 706(C) at sentencing, but more recently it has said that the Rule only </w:t>
      </w:r>
      <w:r>
        <w:rPr>
          <w:i/>
        </w:rPr>
        <w:t>requires</w:t>
      </w:r>
      <w:r>
        <w:t xml:space="preserve"> an ability-to-pay hearing prior to incarceration for nonpayment.</w:t>
      </w:r>
      <w:r>
        <w:rPr>
          <w:rStyle w:val="FootnoteReference"/>
        </w:rPr>
        <w:footnoteReference w:id="20"/>
      </w:r>
      <w:r w:rsidR="00BB449D">
        <w:t xml:space="preserve"> </w:t>
      </w:r>
      <w:r w:rsidR="003E602F">
        <w:t>Either way, the current case law at least permits trial courts to consider ability to pay and to reduce or waive court costs.</w:t>
      </w:r>
      <w:r w:rsidR="00D2321D">
        <w:rPr>
          <w:rStyle w:val="FootnoteReference"/>
        </w:rPr>
        <w:footnoteReference w:id="21"/>
      </w:r>
    </w:p>
    <w:p w14:paraId="737072C4" w14:textId="77777777" w:rsidR="00487672" w:rsidRPr="001A255E" w:rsidRDefault="003458C4" w:rsidP="00E0173D">
      <w:pPr>
        <w:pStyle w:val="ListParagraph"/>
        <w:numPr>
          <w:ilvl w:val="1"/>
          <w:numId w:val="6"/>
        </w:numPr>
      </w:pPr>
      <w:r>
        <w:t>Indigent defendants</w:t>
      </w:r>
      <w:r w:rsidR="00487672">
        <w:t xml:space="preserve"> should ask to have costs </w:t>
      </w:r>
      <w:r w:rsidR="0062228A">
        <w:t>waived</w:t>
      </w:r>
      <w:r>
        <w:t xml:space="preserve"> or reduced</w:t>
      </w:r>
      <w:r w:rsidR="0062228A">
        <w:t xml:space="preserve"> and preserve this issue for appeal.</w:t>
      </w:r>
    </w:p>
    <w:p w14:paraId="3BEFBCBE" w14:textId="77777777" w:rsidR="001A255E" w:rsidRDefault="001A255E" w:rsidP="001A255E"/>
    <w:p w14:paraId="7728A275" w14:textId="77777777" w:rsidR="007B2A38" w:rsidRDefault="00FD4D96" w:rsidP="007B2A38">
      <w:pPr>
        <w:tabs>
          <w:tab w:val="left" w:pos="2588"/>
        </w:tabs>
      </w:pPr>
      <w:r>
        <w:t>Other points from case law</w:t>
      </w:r>
      <w:r w:rsidR="007B2A38">
        <w:t>:</w:t>
      </w:r>
    </w:p>
    <w:p w14:paraId="6CED4FBF" w14:textId="77777777" w:rsidR="001A255E" w:rsidRPr="00AD1880" w:rsidRDefault="007B2A38" w:rsidP="007B2A38">
      <w:pPr>
        <w:tabs>
          <w:tab w:val="left" w:pos="2588"/>
        </w:tabs>
      </w:pPr>
      <w:r>
        <w:tab/>
      </w:r>
    </w:p>
    <w:p w14:paraId="5090C777" w14:textId="7C8BEF5A" w:rsidR="00F877BF" w:rsidRPr="00AD5FC3" w:rsidRDefault="00C54875" w:rsidP="00AD5FC3">
      <w:pPr>
        <w:pStyle w:val="ListParagraph"/>
        <w:numPr>
          <w:ilvl w:val="0"/>
          <w:numId w:val="6"/>
        </w:numPr>
      </w:pPr>
      <w:r>
        <w:rPr>
          <w:u w:val="single"/>
        </w:rPr>
        <w:t>T</w:t>
      </w:r>
      <w:r w:rsidR="0013273E">
        <w:rPr>
          <w:u w:val="single"/>
        </w:rPr>
        <w:t>he p</w:t>
      </w:r>
      <w:r w:rsidR="0011037F">
        <w:rPr>
          <w:u w:val="single"/>
        </w:rPr>
        <w:t>ayment of c</w:t>
      </w:r>
      <w:r w:rsidR="00AD5FC3" w:rsidRPr="00AD5FC3">
        <w:rPr>
          <w:u w:val="single"/>
        </w:rPr>
        <w:t xml:space="preserve">osts </w:t>
      </w:r>
      <w:r w:rsidR="00F24852">
        <w:rPr>
          <w:u w:val="single"/>
        </w:rPr>
        <w:t>cannot be a condition of probation</w:t>
      </w:r>
      <w:r w:rsidR="00AD5FC3">
        <w:t xml:space="preserve">: </w:t>
      </w:r>
      <w:r w:rsidR="00FB0FDE">
        <w:t>Because costs serve neither a penal nor rehabilitative purpose, a</w:t>
      </w:r>
      <w:r w:rsidR="00F877BF">
        <w:t xml:space="preserve"> court cannot requ</w:t>
      </w:r>
      <w:r w:rsidR="00723042">
        <w:t xml:space="preserve">ire that a defendant pay costs </w:t>
      </w:r>
      <w:r w:rsidR="00F877BF">
        <w:t>as a co</w:t>
      </w:r>
      <w:r w:rsidR="00FB0FDE">
        <w:t xml:space="preserve">ndition of probation because </w:t>
      </w:r>
      <w:r w:rsidR="00F877BF">
        <w:t xml:space="preserve">they are </w:t>
      </w:r>
      <w:r w:rsidR="00F877BF" w:rsidRPr="00AD5FC3">
        <w:rPr>
          <w:rFonts w:cs="Times New Roman"/>
        </w:rPr>
        <w:t>“not reasonably related to the rehabilitation of the defendant” under 42 Pa</w:t>
      </w:r>
      <w:r w:rsidR="00D84DC6">
        <w:rPr>
          <w:rFonts w:cs="Times New Roman"/>
        </w:rPr>
        <w:t xml:space="preserve">.C.S. </w:t>
      </w:r>
      <w:r w:rsidR="00F877BF" w:rsidRPr="00AD5FC3">
        <w:rPr>
          <w:rFonts w:cs="Times New Roman"/>
        </w:rPr>
        <w:t xml:space="preserve">§ </w:t>
      </w:r>
      <w:r w:rsidR="00802B4C">
        <w:rPr>
          <w:rFonts w:cs="Times New Roman"/>
        </w:rPr>
        <w:t>9763(b)</w:t>
      </w:r>
      <w:r w:rsidR="00F877BF" w:rsidRPr="00AD5FC3">
        <w:rPr>
          <w:rFonts w:cs="Times New Roman"/>
        </w:rPr>
        <w:t>.</w:t>
      </w:r>
      <w:r w:rsidR="00F877BF">
        <w:rPr>
          <w:rStyle w:val="FootnoteReference"/>
          <w:rFonts w:cs="Times New Roman"/>
        </w:rPr>
        <w:footnoteReference w:id="22"/>
      </w:r>
      <w:r w:rsidR="00AF5279">
        <w:rPr>
          <w:rFonts w:cs="Times New Roman"/>
        </w:rPr>
        <w:t xml:space="preserve"> Thus, a defendant who owes only costs</w:t>
      </w:r>
      <w:r w:rsidR="00780F1F">
        <w:rPr>
          <w:rFonts w:cs="Times New Roman"/>
        </w:rPr>
        <w:t>, and</w:t>
      </w:r>
      <w:r w:rsidR="00AF5279">
        <w:rPr>
          <w:rFonts w:cs="Times New Roman"/>
        </w:rPr>
        <w:t xml:space="preserve"> no fines or restitution</w:t>
      </w:r>
      <w:r w:rsidR="00780F1F">
        <w:rPr>
          <w:rFonts w:cs="Times New Roman"/>
        </w:rPr>
        <w:t>,</w:t>
      </w:r>
      <w:r w:rsidR="00AF5279">
        <w:rPr>
          <w:rFonts w:cs="Times New Roman"/>
        </w:rPr>
        <w:t xml:space="preserve"> cannot have probation revoked or extended for nonpayment. </w:t>
      </w:r>
    </w:p>
    <w:p w14:paraId="5D41017C" w14:textId="2D019033" w:rsidR="00AD5FC3" w:rsidRDefault="007B2A38" w:rsidP="00AD5FC3">
      <w:pPr>
        <w:pStyle w:val="ListParagraph"/>
        <w:numPr>
          <w:ilvl w:val="0"/>
          <w:numId w:val="6"/>
        </w:numPr>
      </w:pPr>
      <w:r>
        <w:rPr>
          <w:u w:val="single"/>
        </w:rPr>
        <w:t>Costs can only be imposed if a statute authorizes them</w:t>
      </w:r>
      <w:r w:rsidR="00AD5FC3">
        <w:t xml:space="preserve">: </w:t>
      </w:r>
      <w:r w:rsidR="00A138AF">
        <w:t>A defendant can only be required to pay costs that are authorized by statute.</w:t>
      </w:r>
      <w:r w:rsidR="00A138AF">
        <w:rPr>
          <w:rStyle w:val="FootnoteReference"/>
        </w:rPr>
        <w:footnoteReference w:id="23"/>
      </w:r>
      <w:r w:rsidR="00374E96">
        <w:t xml:space="preserve"> The Superior Court has invalidated numerous </w:t>
      </w:r>
      <w:r w:rsidR="0081436C">
        <w:t xml:space="preserve">illegal </w:t>
      </w:r>
      <w:r w:rsidR="00374E96">
        <w:t xml:space="preserve">costs that </w:t>
      </w:r>
      <w:r w:rsidR="00BF2FD4">
        <w:t>trial courts imposed</w:t>
      </w:r>
      <w:r w:rsidR="00374E96">
        <w:t xml:space="preserve"> without statutory authorization.</w:t>
      </w:r>
      <w:r w:rsidR="00374E96">
        <w:rPr>
          <w:rStyle w:val="FootnoteReference"/>
        </w:rPr>
        <w:footnoteReference w:id="24"/>
      </w:r>
      <w:r w:rsidR="009D726C">
        <w:t xml:space="preserve"> Such statutes are penal in nature and must be strictly construed.</w:t>
      </w:r>
      <w:r w:rsidR="009D726C">
        <w:rPr>
          <w:rStyle w:val="FootnoteReference"/>
        </w:rPr>
        <w:footnoteReference w:id="25"/>
      </w:r>
    </w:p>
    <w:p w14:paraId="21E2E969" w14:textId="77777777" w:rsidR="00F24852" w:rsidRDefault="00F24852" w:rsidP="00F24852">
      <w:pPr>
        <w:pStyle w:val="ListParagraph"/>
        <w:numPr>
          <w:ilvl w:val="1"/>
          <w:numId w:val="6"/>
        </w:numPr>
      </w:pPr>
      <w:r>
        <w:t>There is nothing inappropriate about the clerk of courts actually calculating the amount of costs, as long as there is a court order or statutory authorization for their imposition.</w:t>
      </w:r>
      <w:r w:rsidR="00743699">
        <w:rPr>
          <w:rStyle w:val="FootnoteReference"/>
        </w:rPr>
        <w:footnoteReference w:id="26"/>
      </w:r>
      <w:r>
        <w:t xml:space="preserve"> </w:t>
      </w:r>
    </w:p>
    <w:p w14:paraId="1921222F" w14:textId="04CD094B" w:rsidR="003B6ECF" w:rsidRDefault="003B6ECF" w:rsidP="00F24852">
      <w:pPr>
        <w:pStyle w:val="ListParagraph"/>
        <w:numPr>
          <w:ilvl w:val="1"/>
          <w:numId w:val="6"/>
        </w:numPr>
      </w:pPr>
      <w:r>
        <w:t>“Costs of prosecution” is a term broad enough to encompass all authorized court costs.</w:t>
      </w:r>
      <w:r>
        <w:rPr>
          <w:rStyle w:val="FootnoteReference"/>
        </w:rPr>
        <w:footnoteReference w:id="27"/>
      </w:r>
      <w:r>
        <w:t xml:space="preserve"> </w:t>
      </w:r>
      <w:r w:rsidR="00D41AD3">
        <w:t xml:space="preserve">Such costs can include things like the costs of experts, drug buy money, </w:t>
      </w:r>
      <w:r w:rsidR="00D41AD3">
        <w:lastRenderedPageBreak/>
        <w:t>or (under exceptional circumstances) hiring additional personnel to investigate and prosecute the case.</w:t>
      </w:r>
      <w:r w:rsidR="00D41AD3">
        <w:rPr>
          <w:rStyle w:val="FootnoteReference"/>
        </w:rPr>
        <w:footnoteReference w:id="28"/>
      </w:r>
      <w:r w:rsidR="00D41AD3">
        <w:t xml:space="preserve"> Ordinarily, however, salary costs are not recoverable.</w:t>
      </w:r>
      <w:r w:rsidR="00D41AD3">
        <w:rPr>
          <w:rStyle w:val="FootnoteReference"/>
        </w:rPr>
        <w:footnoteReference w:id="29"/>
      </w:r>
      <w:r w:rsidR="00D41AD3">
        <w:t xml:space="preserve"> </w:t>
      </w:r>
      <w:r w:rsidR="00193503">
        <w:t>The relevant test is whether the costs “fall within the ambit of usual services provided”; if so, they cannot be taxed on the defendant.</w:t>
      </w:r>
      <w:r w:rsidR="00193503">
        <w:rPr>
          <w:rStyle w:val="FootnoteReference"/>
        </w:rPr>
        <w:footnoteReference w:id="30"/>
      </w:r>
      <w:r w:rsidR="00193503">
        <w:t xml:space="preserve"> </w:t>
      </w:r>
    </w:p>
    <w:p w14:paraId="19518CFD" w14:textId="543AE0B0" w:rsidR="004C664B" w:rsidRDefault="00180981" w:rsidP="00F24852">
      <w:pPr>
        <w:pStyle w:val="ListParagraph"/>
        <w:numPr>
          <w:ilvl w:val="1"/>
          <w:numId w:val="6"/>
        </w:numPr>
      </w:pPr>
      <w:r>
        <w:t>T</w:t>
      </w:r>
      <w:r w:rsidR="004C664B">
        <w:t>he defendant can only be billed for costs associated with charges on which he was convicted.</w:t>
      </w:r>
      <w:r w:rsidR="004C664B">
        <w:rPr>
          <w:rStyle w:val="FootnoteReference"/>
        </w:rPr>
        <w:footnoteReference w:id="31"/>
      </w:r>
    </w:p>
    <w:p w14:paraId="71CA9846" w14:textId="5D135371" w:rsidR="00180981" w:rsidRDefault="00180981" w:rsidP="00F24852">
      <w:pPr>
        <w:pStyle w:val="ListParagraph"/>
        <w:numPr>
          <w:ilvl w:val="1"/>
          <w:numId w:val="6"/>
        </w:numPr>
      </w:pPr>
      <w:r>
        <w:t>Costs set forth in 42 Pa.C.S. § 9728 only cover costs associated with collecting fines, costs, or restitution; it is not a provision that applies at sentencing.</w:t>
      </w:r>
      <w:r>
        <w:rPr>
          <w:rStyle w:val="FootnoteReference"/>
        </w:rPr>
        <w:footnoteReference w:id="32"/>
      </w:r>
    </w:p>
    <w:p w14:paraId="27293207" w14:textId="77777777" w:rsidR="003B6ECF" w:rsidRDefault="007B2A38" w:rsidP="00AD5FC3">
      <w:pPr>
        <w:pStyle w:val="ListParagraph"/>
        <w:numPr>
          <w:ilvl w:val="0"/>
          <w:numId w:val="6"/>
        </w:numPr>
      </w:pPr>
      <w:r w:rsidRPr="00092F3E">
        <w:rPr>
          <w:u w:val="single"/>
        </w:rPr>
        <w:t>The defendant has a right to object to the imposition of individual costs</w:t>
      </w:r>
      <w:r w:rsidRPr="007B2A38">
        <w:t xml:space="preserve">: </w:t>
      </w:r>
      <w:r w:rsidR="00EA1472">
        <w:t>At sentencing, a defendant must receive a bill of costs, to which he can file objections.</w:t>
      </w:r>
      <w:r w:rsidR="00EA1472">
        <w:rPr>
          <w:rStyle w:val="FootnoteReference"/>
        </w:rPr>
        <w:footnoteReference w:id="33"/>
      </w:r>
    </w:p>
    <w:p w14:paraId="62255962" w14:textId="3845E4CE" w:rsidR="005C6873" w:rsidRDefault="005C6873" w:rsidP="005C6873">
      <w:pPr>
        <w:pStyle w:val="ListParagraph"/>
        <w:numPr>
          <w:ilvl w:val="1"/>
          <w:numId w:val="6"/>
        </w:numPr>
      </w:pPr>
      <w:r>
        <w:t>A defendant can raise a challenge to the imposition of court costs for the first time on appeal without waiving it.</w:t>
      </w:r>
      <w:r w:rsidR="00E90DAA" w:rsidRPr="00E90DAA">
        <w:rPr>
          <w:rStyle w:val="FootnoteReference"/>
        </w:rPr>
        <w:t xml:space="preserve"> </w:t>
      </w:r>
      <w:r w:rsidR="00E90DAA">
        <w:rPr>
          <w:rStyle w:val="FootnoteReference"/>
        </w:rPr>
        <w:footnoteReference w:id="34"/>
      </w:r>
    </w:p>
    <w:p w14:paraId="7BFDCC38" w14:textId="3BDCB4EA" w:rsidR="00FA77DB" w:rsidRDefault="00FA77DB" w:rsidP="00FA77DB">
      <w:pPr>
        <w:pStyle w:val="ListParagraph"/>
        <w:numPr>
          <w:ilvl w:val="0"/>
          <w:numId w:val="6"/>
        </w:numPr>
      </w:pPr>
      <w:r>
        <w:rPr>
          <w:u w:val="single"/>
        </w:rPr>
        <w:t>Costs cannot be applied retroactively</w:t>
      </w:r>
      <w:r>
        <w:t>: The Constitution’s Ex Post Facto clause applies to court costs.</w:t>
      </w:r>
      <w:r>
        <w:rPr>
          <w:rStyle w:val="FootnoteReference"/>
        </w:rPr>
        <w:footnoteReference w:id="35"/>
      </w:r>
    </w:p>
    <w:p w14:paraId="7270FEEC" w14:textId="77777777" w:rsidR="007C52C7" w:rsidRDefault="007C52C7"/>
    <w:p w14:paraId="73F08F67" w14:textId="77777777" w:rsidR="00E80C07" w:rsidRDefault="008B1B68">
      <w:r>
        <w:rPr>
          <w:b/>
        </w:rPr>
        <w:t>Restitution:</w:t>
      </w:r>
      <w:r w:rsidR="00E80C07">
        <w:t xml:space="preserve"> Restitution “c</w:t>
      </w:r>
      <w:r w:rsidR="00E80C07" w:rsidRPr="00E80C07">
        <w:t>ompensates the victim for his loss and rehabilitates the defendant by impressing upon him that his criminal conduct caused the victim's loss and he is responsible to repair that loss.</w:t>
      </w:r>
      <w:r w:rsidR="00E80C07">
        <w:t>”</w:t>
      </w:r>
      <w:r w:rsidR="00E80C07">
        <w:rPr>
          <w:rStyle w:val="FootnoteReference"/>
        </w:rPr>
        <w:footnoteReference w:id="36"/>
      </w:r>
      <w:r w:rsidR="00E80C07" w:rsidRPr="00E80C07">
        <w:t xml:space="preserve"> </w:t>
      </w:r>
      <w:r w:rsidR="00E80C07">
        <w:t>It is not considered punishment.</w:t>
      </w:r>
      <w:r w:rsidR="00E80C07">
        <w:rPr>
          <w:rStyle w:val="FootnoteReference"/>
        </w:rPr>
        <w:footnoteReference w:id="37"/>
      </w:r>
    </w:p>
    <w:p w14:paraId="6EBA635E" w14:textId="77777777" w:rsidR="00E80C07" w:rsidRDefault="00E80C07"/>
    <w:p w14:paraId="7F82FE36" w14:textId="303C2CA5" w:rsidR="00C80A79" w:rsidRDefault="008B1B68">
      <w:r>
        <w:t xml:space="preserve">Whether the court </w:t>
      </w:r>
      <w:r w:rsidR="00E80C07">
        <w:t>must</w:t>
      </w:r>
      <w:r>
        <w:t xml:space="preserve"> consider a defendant’s ability to pay restitution at sentencing </w:t>
      </w:r>
      <w:r w:rsidR="00E80C07">
        <w:t>depends</w:t>
      </w:r>
      <w:r>
        <w:t xml:space="preserve"> on whether the restitution is a part of the sentence or a condition of probation.</w:t>
      </w:r>
      <w:r w:rsidR="000C0A6A">
        <w:t xml:space="preserve"> Counsel should ask the court to clarify what type of restitution the court is imposing.</w:t>
      </w:r>
    </w:p>
    <w:p w14:paraId="5F5F6190" w14:textId="28240C0B" w:rsidR="008B1B68" w:rsidRDefault="008B1B68" w:rsidP="008B1B68">
      <w:pPr>
        <w:pStyle w:val="ListParagraph"/>
        <w:numPr>
          <w:ilvl w:val="0"/>
          <w:numId w:val="1"/>
        </w:numPr>
      </w:pPr>
      <w:r>
        <w:lastRenderedPageBreak/>
        <w:t>Restitution that is part of sentence must be imposed without considering the defendant’s ability to pay.</w:t>
      </w:r>
      <w:r>
        <w:rPr>
          <w:rStyle w:val="FootnoteReference"/>
        </w:rPr>
        <w:footnoteReference w:id="38"/>
      </w:r>
    </w:p>
    <w:p w14:paraId="692ECC91" w14:textId="3BC47F5D" w:rsidR="00573376" w:rsidRDefault="008B1B68" w:rsidP="00CB1C8C">
      <w:pPr>
        <w:pStyle w:val="ListParagraph"/>
        <w:numPr>
          <w:ilvl w:val="0"/>
          <w:numId w:val="1"/>
        </w:numPr>
      </w:pPr>
      <w:r>
        <w:t>Restitution that is a condition of probation</w:t>
      </w:r>
      <w:r w:rsidR="004B00F8">
        <w:t xml:space="preserve"> under 42 Pa.C.S. § 9763</w:t>
      </w:r>
      <w:r>
        <w:t xml:space="preserve"> can be imposed </w:t>
      </w:r>
      <w:r w:rsidRPr="00573376">
        <w:rPr>
          <w:i/>
        </w:rPr>
        <w:t>only if</w:t>
      </w:r>
      <w:r>
        <w:t xml:space="preserve"> it is in an amount the defendant “can afford to pay.”</w:t>
      </w:r>
      <w:r>
        <w:rPr>
          <w:rStyle w:val="FootnoteReference"/>
        </w:rPr>
        <w:footnoteReference w:id="39"/>
      </w:r>
    </w:p>
    <w:p w14:paraId="3E43D0FD" w14:textId="194831AF" w:rsidR="00A712F4" w:rsidRPr="004B00F8" w:rsidRDefault="00573376" w:rsidP="00A712F4">
      <w:pPr>
        <w:pStyle w:val="ListParagraph"/>
        <w:numPr>
          <w:ilvl w:val="0"/>
          <w:numId w:val="1"/>
        </w:numPr>
      </w:pPr>
      <w:r>
        <w:t xml:space="preserve">If restitution is </w:t>
      </w:r>
      <w:r w:rsidR="002E7492">
        <w:t xml:space="preserve">solely </w:t>
      </w:r>
      <w:r>
        <w:t xml:space="preserve">a condition of probation, then the obligation to pay it </w:t>
      </w:r>
      <w:r w:rsidRPr="00573376">
        <w:rPr>
          <w:rFonts w:cs="Times New Roman"/>
        </w:rPr>
        <w:t>“expires upon the end of the term of probation, even if the amount of restitution ordered has not been paid.”</w:t>
      </w:r>
      <w:r w:rsidRPr="00516784">
        <w:rPr>
          <w:rStyle w:val="FootnoteReference"/>
          <w:rFonts w:cs="Times New Roman"/>
        </w:rPr>
        <w:footnoteReference w:id="40"/>
      </w:r>
      <w:r w:rsidRPr="00573376">
        <w:rPr>
          <w:rFonts w:cs="Times New Roman"/>
        </w:rPr>
        <w:t xml:space="preserve"> By contrast, restitution that is ordered as part of the sentence under 18 Pa.</w:t>
      </w:r>
      <w:r w:rsidR="00D84DC6">
        <w:rPr>
          <w:rFonts w:cs="Times New Roman"/>
        </w:rPr>
        <w:t>C.S.</w:t>
      </w:r>
      <w:r w:rsidRPr="00573376">
        <w:rPr>
          <w:rFonts w:cs="Times New Roman"/>
        </w:rPr>
        <w:t xml:space="preserve"> § 1106(a) is part of the sentence and does not expire at the end of the defendant’s probation.</w:t>
      </w:r>
      <w:r w:rsidRPr="00516784">
        <w:rPr>
          <w:rStyle w:val="FootnoteReference"/>
          <w:rFonts w:cs="Times New Roman"/>
        </w:rPr>
        <w:footnoteReference w:id="41"/>
      </w:r>
    </w:p>
    <w:p w14:paraId="55B0D714" w14:textId="0C19BB01" w:rsidR="004B00F8" w:rsidRDefault="004B00F8" w:rsidP="00A712F4">
      <w:pPr>
        <w:pStyle w:val="ListParagraph"/>
        <w:numPr>
          <w:ilvl w:val="0"/>
          <w:numId w:val="1"/>
        </w:numPr>
      </w:pPr>
      <w:r>
        <w:rPr>
          <w:rFonts w:cs="Times New Roman"/>
        </w:rPr>
        <w:t xml:space="preserve">The case law is not </w:t>
      </w:r>
      <w:r w:rsidR="003D5413">
        <w:rPr>
          <w:rFonts w:cs="Times New Roman"/>
        </w:rPr>
        <w:t xml:space="preserve">entirely </w:t>
      </w:r>
      <w:r>
        <w:rPr>
          <w:rFonts w:cs="Times New Roman"/>
        </w:rPr>
        <w:t xml:space="preserve">clear on whether a court has a choice between imposing restitution under § 1106 or § 9763, </w:t>
      </w:r>
      <w:r w:rsidR="003D5413">
        <w:rPr>
          <w:rFonts w:cs="Times New Roman"/>
        </w:rPr>
        <w:t>but the Superior Court has suggested that whenever a victim, as defined by § 1106, has suffered injury to person or property, full restitution must be imposed under § 1106.</w:t>
      </w:r>
      <w:r w:rsidR="007D3FBE">
        <w:rPr>
          <w:rStyle w:val="FootnoteReference"/>
          <w:rFonts w:cs="Times New Roman"/>
        </w:rPr>
        <w:footnoteReference w:id="42"/>
      </w:r>
      <w:r w:rsidR="007D3FBE">
        <w:rPr>
          <w:rFonts w:cs="Times New Roman"/>
        </w:rPr>
        <w:t xml:space="preserve"> </w:t>
      </w:r>
      <w:r w:rsidR="003D5413">
        <w:rPr>
          <w:rFonts w:cs="Times New Roman"/>
        </w:rPr>
        <w:t xml:space="preserve">  </w:t>
      </w:r>
    </w:p>
    <w:p w14:paraId="739A34BA" w14:textId="77777777" w:rsidR="00F877BF" w:rsidRDefault="00F877BF" w:rsidP="00C23B05">
      <w:pPr>
        <w:rPr>
          <w:rFonts w:cs="Times New Roman"/>
        </w:rPr>
      </w:pPr>
    </w:p>
    <w:p w14:paraId="4C407BB2" w14:textId="77777777" w:rsidR="000266DE" w:rsidRDefault="00D1532C" w:rsidP="00C23B05">
      <w:pPr>
        <w:rPr>
          <w:rFonts w:cs="Times New Roman"/>
        </w:rPr>
      </w:pPr>
      <w:r>
        <w:rPr>
          <w:rFonts w:cs="Times New Roman"/>
        </w:rPr>
        <w:t xml:space="preserve">There are limits on when restitution can be imposed. </w:t>
      </w:r>
    </w:p>
    <w:p w14:paraId="3BD324BC" w14:textId="26979181" w:rsidR="00755303" w:rsidRDefault="00755303" w:rsidP="000266DE">
      <w:pPr>
        <w:pStyle w:val="ListParagraph"/>
        <w:numPr>
          <w:ilvl w:val="0"/>
          <w:numId w:val="9"/>
        </w:numPr>
        <w:rPr>
          <w:rFonts w:cs="Times New Roman"/>
        </w:rPr>
      </w:pPr>
      <w:r>
        <w:rPr>
          <w:rFonts w:cs="Times New Roman"/>
        </w:rPr>
        <w:t>Restitution can only be imposed for charges on which the defendant was convicted.</w:t>
      </w:r>
      <w:r>
        <w:rPr>
          <w:rStyle w:val="FootnoteReference"/>
          <w:rFonts w:cs="Times New Roman"/>
        </w:rPr>
        <w:footnoteReference w:id="43"/>
      </w:r>
    </w:p>
    <w:p w14:paraId="1B7FB57B" w14:textId="0562D6B2" w:rsidR="000266DE" w:rsidRDefault="003B3C75" w:rsidP="000266DE">
      <w:pPr>
        <w:pStyle w:val="ListParagraph"/>
        <w:numPr>
          <w:ilvl w:val="0"/>
          <w:numId w:val="9"/>
        </w:numPr>
        <w:rPr>
          <w:rFonts w:cs="Times New Roman"/>
        </w:rPr>
      </w:pPr>
      <w:r w:rsidRPr="000266DE">
        <w:rPr>
          <w:rFonts w:cs="Times New Roman"/>
        </w:rPr>
        <w:t>Like with costs or a fine, restitution can only be imposed if it is authorized by statute.</w:t>
      </w:r>
      <w:r>
        <w:rPr>
          <w:rStyle w:val="FootnoteReference"/>
          <w:rFonts w:cs="Times New Roman"/>
        </w:rPr>
        <w:footnoteReference w:id="44"/>
      </w:r>
      <w:r w:rsidR="00A455C2" w:rsidRPr="000266DE">
        <w:rPr>
          <w:rFonts w:cs="Times New Roman"/>
        </w:rPr>
        <w:t xml:space="preserve"> </w:t>
      </w:r>
    </w:p>
    <w:p w14:paraId="3C311204" w14:textId="23A0D702" w:rsidR="00B47EAA" w:rsidRDefault="0077328A" w:rsidP="00B47EAA">
      <w:pPr>
        <w:pStyle w:val="ListParagraph"/>
        <w:numPr>
          <w:ilvl w:val="1"/>
          <w:numId w:val="9"/>
        </w:numPr>
        <w:rPr>
          <w:rFonts w:cs="Times New Roman"/>
        </w:rPr>
      </w:pPr>
      <w:r>
        <w:rPr>
          <w:rFonts w:cs="Times New Roman"/>
        </w:rPr>
        <w:t>Restitution as p</w:t>
      </w:r>
      <w:r w:rsidR="00B47EAA">
        <w:rPr>
          <w:rFonts w:cs="Times New Roman"/>
        </w:rPr>
        <w:t>art of the sentence under 18 Pa.C.S. §</w:t>
      </w:r>
      <w:r w:rsidR="006B2631">
        <w:rPr>
          <w:rFonts w:cs="Times New Roman"/>
        </w:rPr>
        <w:t xml:space="preserve"> </w:t>
      </w:r>
      <w:r w:rsidR="00B47EAA">
        <w:rPr>
          <w:rFonts w:cs="Times New Roman"/>
        </w:rPr>
        <w:t xml:space="preserve">1106: </w:t>
      </w:r>
    </w:p>
    <w:p w14:paraId="6EED0F08" w14:textId="418D0157" w:rsidR="00B47EAA" w:rsidRDefault="00B47EAA" w:rsidP="00B47EAA">
      <w:pPr>
        <w:pStyle w:val="ListParagraph"/>
        <w:numPr>
          <w:ilvl w:val="2"/>
          <w:numId w:val="9"/>
        </w:numPr>
        <w:rPr>
          <w:rFonts w:cs="Times New Roman"/>
        </w:rPr>
      </w:pPr>
      <w:r w:rsidRPr="000266DE">
        <w:rPr>
          <w:rFonts w:cs="Times New Roman"/>
        </w:rPr>
        <w:t>The evidence must show a “direct nexus between the crime” and the loss of value to any property.</w:t>
      </w:r>
      <w:r>
        <w:rPr>
          <w:rStyle w:val="FootnoteReference"/>
          <w:rFonts w:cs="Times New Roman"/>
        </w:rPr>
        <w:footnoteReference w:id="45"/>
      </w:r>
      <w:r w:rsidRPr="000266DE">
        <w:rPr>
          <w:rFonts w:cs="Times New Roman"/>
        </w:rPr>
        <w:t xml:space="preserve"> </w:t>
      </w:r>
    </w:p>
    <w:p w14:paraId="28BA60CA" w14:textId="3EBAB104" w:rsidR="000266DE" w:rsidRDefault="00B47EAA" w:rsidP="00B47EAA">
      <w:pPr>
        <w:pStyle w:val="ListParagraph"/>
        <w:numPr>
          <w:ilvl w:val="2"/>
          <w:numId w:val="9"/>
        </w:numPr>
        <w:rPr>
          <w:rFonts w:cs="Times New Roman"/>
        </w:rPr>
      </w:pPr>
      <w:r>
        <w:rPr>
          <w:rFonts w:cs="Times New Roman"/>
        </w:rPr>
        <w:t>R</w:t>
      </w:r>
      <w:r w:rsidR="00A455C2" w:rsidRPr="000266DE">
        <w:rPr>
          <w:rFonts w:cs="Times New Roman"/>
        </w:rPr>
        <w:t>estitution is limited to any property that has been stolen, converted, unlawfully obtained, or had its “value substantially decreased” as a “</w:t>
      </w:r>
      <w:r w:rsidR="000266DE">
        <w:rPr>
          <w:rFonts w:cs="Times New Roman"/>
        </w:rPr>
        <w:t>direct result of the crime.</w:t>
      </w:r>
      <w:r w:rsidR="00A455C2" w:rsidRPr="000266DE">
        <w:rPr>
          <w:rFonts w:cs="Times New Roman"/>
        </w:rPr>
        <w:t>”</w:t>
      </w:r>
      <w:r w:rsidR="000266DE">
        <w:rPr>
          <w:rStyle w:val="FootnoteReference"/>
          <w:rFonts w:cs="Times New Roman"/>
        </w:rPr>
        <w:footnoteReference w:id="46"/>
      </w:r>
      <w:r w:rsidR="000266DE" w:rsidRPr="000266DE">
        <w:rPr>
          <w:rFonts w:cs="Times New Roman"/>
        </w:rPr>
        <w:t xml:space="preserve"> </w:t>
      </w:r>
      <w:r w:rsidR="00A455C2" w:rsidRPr="000266DE">
        <w:rPr>
          <w:rFonts w:cs="Times New Roman"/>
        </w:rPr>
        <w:t xml:space="preserve"> </w:t>
      </w:r>
    </w:p>
    <w:p w14:paraId="31CF23F7" w14:textId="375F517B" w:rsidR="00825B38" w:rsidRDefault="000266DE" w:rsidP="00B47EAA">
      <w:pPr>
        <w:pStyle w:val="ListParagraph"/>
        <w:numPr>
          <w:ilvl w:val="2"/>
          <w:numId w:val="9"/>
        </w:numPr>
        <w:rPr>
          <w:rFonts w:cs="Times New Roman"/>
        </w:rPr>
      </w:pPr>
      <w:r>
        <w:rPr>
          <w:rFonts w:cs="Times New Roman"/>
        </w:rPr>
        <w:lastRenderedPageBreak/>
        <w:t xml:space="preserve">§ 1106 also allows restitution for </w:t>
      </w:r>
      <w:r w:rsidR="00A455C2" w:rsidRPr="000266DE">
        <w:rPr>
          <w:rFonts w:cs="Times New Roman"/>
        </w:rPr>
        <w:t>“personal injury” suffered by the victim.</w:t>
      </w:r>
      <w:r w:rsidR="00A455C2">
        <w:rPr>
          <w:rStyle w:val="FootnoteReference"/>
          <w:rFonts w:cs="Times New Roman"/>
        </w:rPr>
        <w:footnoteReference w:id="47"/>
      </w:r>
    </w:p>
    <w:p w14:paraId="5EC5BCA4" w14:textId="6638369B" w:rsidR="000F755F" w:rsidRPr="000F755F" w:rsidRDefault="000F755F" w:rsidP="001133E3">
      <w:pPr>
        <w:pStyle w:val="ListParagraph"/>
        <w:numPr>
          <w:ilvl w:val="2"/>
          <w:numId w:val="9"/>
        </w:numPr>
        <w:rPr>
          <w:rFonts w:cs="Times New Roman"/>
        </w:rPr>
      </w:pPr>
      <w:r>
        <w:t>However, for offenses that occurred prior to October 24, 2018, restitution is not owed to any government,</w:t>
      </w:r>
      <w:r w:rsidR="003E5D17">
        <w:rPr>
          <w:rStyle w:val="FootnoteReference"/>
        </w:rPr>
        <w:footnoteReference w:id="48"/>
      </w:r>
      <w:r>
        <w:t xml:space="preserve"> corporation, or non-profit because they were not “victims” under the former version of § 1106.</w:t>
      </w:r>
      <w:r>
        <w:rPr>
          <w:rStyle w:val="FootnoteReference"/>
        </w:rPr>
        <w:footnoteReference w:id="49"/>
      </w:r>
      <w:r>
        <w:t xml:space="preserve"> </w:t>
      </w:r>
      <w:r w:rsidR="006E7C79">
        <w:t>Nor did that version of § 1106 allow restitution for property crimes.</w:t>
      </w:r>
      <w:r w:rsidR="006E7C79">
        <w:rPr>
          <w:rStyle w:val="FootnoteReference"/>
        </w:rPr>
        <w:footnoteReference w:id="50"/>
      </w:r>
    </w:p>
    <w:p w14:paraId="72BC3CE8" w14:textId="46113454" w:rsidR="00B47EAA" w:rsidRDefault="00825B38" w:rsidP="00B47EAA">
      <w:pPr>
        <w:pStyle w:val="ListParagraph"/>
        <w:numPr>
          <w:ilvl w:val="1"/>
          <w:numId w:val="9"/>
        </w:numPr>
        <w:rPr>
          <w:rFonts w:cs="Times New Roman"/>
        </w:rPr>
      </w:pPr>
      <w:r w:rsidRPr="00B47EAA">
        <w:rPr>
          <w:rFonts w:cs="Times New Roman"/>
        </w:rPr>
        <w:t xml:space="preserve">Courts have more discretion </w:t>
      </w:r>
      <w:r w:rsidR="00B47EAA">
        <w:rPr>
          <w:rFonts w:cs="Times New Roman"/>
        </w:rPr>
        <w:t>to impose restitution under</w:t>
      </w:r>
      <w:r w:rsidRPr="00B47EAA">
        <w:rPr>
          <w:rFonts w:cs="Times New Roman"/>
        </w:rPr>
        <w:t xml:space="preserve"> §</w:t>
      </w:r>
      <w:r w:rsidR="00B47EAA">
        <w:rPr>
          <w:rFonts w:cs="Times New Roman"/>
        </w:rPr>
        <w:t xml:space="preserve"> 9754 as a condition of probation, and the “nexus” between the “damage and the offense is relaxed.”</w:t>
      </w:r>
      <w:r w:rsidR="00B47EAA">
        <w:rPr>
          <w:rStyle w:val="FootnoteReference"/>
          <w:rFonts w:cs="Times New Roman"/>
        </w:rPr>
        <w:footnoteReference w:id="51"/>
      </w:r>
    </w:p>
    <w:p w14:paraId="4EE6F5B9" w14:textId="4657859C" w:rsidR="00825B38" w:rsidRDefault="00825B38" w:rsidP="00B47EAA">
      <w:pPr>
        <w:pStyle w:val="ListParagraph"/>
        <w:numPr>
          <w:ilvl w:val="1"/>
          <w:numId w:val="9"/>
        </w:numPr>
        <w:rPr>
          <w:rFonts w:cs="Times New Roman"/>
        </w:rPr>
      </w:pPr>
      <w:r>
        <w:rPr>
          <w:rFonts w:cs="Times New Roman"/>
        </w:rPr>
        <w:t>As penal statutes, these restitution provisions must be interpreted “in the light most favorable” to the defendant.</w:t>
      </w:r>
      <w:r>
        <w:rPr>
          <w:rStyle w:val="FootnoteReference"/>
          <w:rFonts w:cs="Times New Roman"/>
        </w:rPr>
        <w:footnoteReference w:id="52"/>
      </w:r>
    </w:p>
    <w:p w14:paraId="34D3B13B" w14:textId="77777777" w:rsidR="000266DE" w:rsidRDefault="000266DE" w:rsidP="00C23B05">
      <w:pPr>
        <w:pStyle w:val="ListParagraph"/>
        <w:numPr>
          <w:ilvl w:val="0"/>
          <w:numId w:val="9"/>
        </w:numPr>
        <w:rPr>
          <w:rFonts w:cs="Times New Roman"/>
        </w:rPr>
      </w:pPr>
      <w:r w:rsidRPr="000266DE">
        <w:rPr>
          <w:rFonts w:cs="Times New Roman"/>
          <w:u w:val="single"/>
        </w:rPr>
        <w:t>The burden is on the Commonwealth to show entitlement to restitution and establish the amount the defendant owes.</w:t>
      </w:r>
      <w:r>
        <w:rPr>
          <w:rStyle w:val="FootnoteReference"/>
          <w:rFonts w:cs="Times New Roman"/>
        </w:rPr>
        <w:footnoteReference w:id="53"/>
      </w:r>
      <w:r w:rsidRPr="000266DE">
        <w:rPr>
          <w:rFonts w:cs="Times New Roman"/>
        </w:rPr>
        <w:t xml:space="preserve"> </w:t>
      </w:r>
    </w:p>
    <w:p w14:paraId="10B8D6FB" w14:textId="77777777" w:rsidR="000266DE" w:rsidRDefault="000266DE" w:rsidP="000266DE">
      <w:pPr>
        <w:pStyle w:val="ListParagraph"/>
        <w:numPr>
          <w:ilvl w:val="1"/>
          <w:numId w:val="9"/>
        </w:numPr>
        <w:rPr>
          <w:rFonts w:cs="Times New Roman"/>
        </w:rPr>
      </w:pPr>
      <w:r w:rsidRPr="000266DE">
        <w:rPr>
          <w:rFonts w:cs="Times New Roman"/>
        </w:rPr>
        <w:t>When setting restitution, the court must hold an adversarial evidentiary hearing and make findings on the record regarding the appropriate amount of restitution.</w:t>
      </w:r>
      <w:r>
        <w:rPr>
          <w:rStyle w:val="FootnoteReference"/>
          <w:rFonts w:cs="Times New Roman"/>
        </w:rPr>
        <w:footnoteReference w:id="54"/>
      </w:r>
      <w:r w:rsidRPr="000266DE">
        <w:rPr>
          <w:rFonts w:cs="Times New Roman"/>
        </w:rPr>
        <w:t xml:space="preserve"> </w:t>
      </w:r>
    </w:p>
    <w:p w14:paraId="5A780D79" w14:textId="77777777" w:rsidR="000266DE" w:rsidRDefault="00174894" w:rsidP="000266DE">
      <w:pPr>
        <w:pStyle w:val="ListParagraph"/>
        <w:numPr>
          <w:ilvl w:val="1"/>
          <w:numId w:val="9"/>
        </w:numPr>
        <w:rPr>
          <w:rFonts w:cs="Times New Roman"/>
        </w:rPr>
      </w:pPr>
      <w:r w:rsidRPr="000266DE">
        <w:rPr>
          <w:rFonts w:cs="Times New Roman"/>
        </w:rPr>
        <w:t>The amount of restitution cannot be “speculative or excessive” and must be supported by the record.</w:t>
      </w:r>
      <w:r>
        <w:rPr>
          <w:rStyle w:val="FootnoteReference"/>
          <w:rFonts w:cs="Times New Roman"/>
        </w:rPr>
        <w:footnoteReference w:id="55"/>
      </w:r>
      <w:r w:rsidR="00356F99" w:rsidRPr="000266DE">
        <w:rPr>
          <w:rFonts w:cs="Times New Roman"/>
        </w:rPr>
        <w:t xml:space="preserve"> </w:t>
      </w:r>
    </w:p>
    <w:p w14:paraId="2303536C" w14:textId="77438E03" w:rsidR="000266DE" w:rsidRDefault="00356F99" w:rsidP="000266DE">
      <w:pPr>
        <w:pStyle w:val="ListParagraph"/>
        <w:numPr>
          <w:ilvl w:val="1"/>
          <w:numId w:val="9"/>
        </w:numPr>
        <w:rPr>
          <w:rFonts w:cs="Times New Roman"/>
        </w:rPr>
      </w:pPr>
      <w:r w:rsidRPr="000266DE">
        <w:rPr>
          <w:rFonts w:cs="Times New Roman"/>
        </w:rPr>
        <w:t>The court</w:t>
      </w:r>
      <w:r w:rsidR="00694EF4" w:rsidRPr="000266DE">
        <w:rPr>
          <w:rFonts w:cs="Times New Roman"/>
        </w:rPr>
        <w:t xml:space="preserve"> must determine the amount of restitution owed and</w:t>
      </w:r>
      <w:r w:rsidRPr="000266DE">
        <w:rPr>
          <w:rFonts w:cs="Times New Roman"/>
        </w:rPr>
        <w:t xml:space="preserve"> c</w:t>
      </w:r>
      <w:r w:rsidR="00F877BF" w:rsidRPr="000266DE">
        <w:rPr>
          <w:rFonts w:cs="Times New Roman"/>
        </w:rPr>
        <w:t>annot delegate this decision-making to an agency such as the probation department.</w:t>
      </w:r>
      <w:r>
        <w:rPr>
          <w:rStyle w:val="FootnoteReference"/>
          <w:rFonts w:cs="Times New Roman"/>
        </w:rPr>
        <w:footnoteReference w:id="56"/>
      </w:r>
      <w:r w:rsidR="00F877BF" w:rsidRPr="000266DE">
        <w:rPr>
          <w:rFonts w:cs="Times New Roman"/>
        </w:rPr>
        <w:t xml:space="preserve"> </w:t>
      </w:r>
      <w:r w:rsidR="00C735BF">
        <w:rPr>
          <w:rFonts w:cs="Times New Roman"/>
        </w:rPr>
        <w:t>Instead, the amount must be set at the sentencing hearing by the court.</w:t>
      </w:r>
      <w:r w:rsidR="00C735BF">
        <w:rPr>
          <w:rStyle w:val="FootnoteReference"/>
          <w:rFonts w:cs="Times New Roman"/>
        </w:rPr>
        <w:footnoteReference w:id="57"/>
      </w:r>
      <w:r w:rsidR="00C735BF">
        <w:rPr>
          <w:rFonts w:cs="Times New Roman"/>
        </w:rPr>
        <w:t xml:space="preserve"> </w:t>
      </w:r>
    </w:p>
    <w:p w14:paraId="6BCB7744" w14:textId="33B46CB8" w:rsidR="00621717" w:rsidRDefault="00621717" w:rsidP="000266DE">
      <w:pPr>
        <w:pStyle w:val="ListParagraph"/>
        <w:numPr>
          <w:ilvl w:val="0"/>
          <w:numId w:val="9"/>
        </w:numPr>
        <w:rPr>
          <w:rFonts w:cs="Times New Roman"/>
        </w:rPr>
      </w:pPr>
      <w:r>
        <w:rPr>
          <w:rFonts w:cs="Times New Roman"/>
        </w:rPr>
        <w:t>An obligation to pay restitution cannot be discharged in bankruptcy</w:t>
      </w:r>
      <w:r w:rsidR="00B6310E">
        <w:rPr>
          <w:rFonts w:cs="Times New Roman"/>
        </w:rPr>
        <w:t xml:space="preserve"> prior to initiation of the criminal charges</w:t>
      </w:r>
      <w:r>
        <w:rPr>
          <w:rFonts w:cs="Times New Roman"/>
        </w:rPr>
        <w:t>.</w:t>
      </w:r>
      <w:r>
        <w:rPr>
          <w:rStyle w:val="FootnoteReference"/>
          <w:rFonts w:cs="Times New Roman"/>
        </w:rPr>
        <w:footnoteReference w:id="58"/>
      </w:r>
    </w:p>
    <w:p w14:paraId="2A888CB9" w14:textId="1499CFF4" w:rsidR="00CB148B" w:rsidRDefault="00CB148B" w:rsidP="000266DE">
      <w:pPr>
        <w:pStyle w:val="ListParagraph"/>
        <w:numPr>
          <w:ilvl w:val="0"/>
          <w:numId w:val="9"/>
        </w:numPr>
        <w:rPr>
          <w:rFonts w:cs="Times New Roman"/>
        </w:rPr>
      </w:pPr>
      <w:r w:rsidRPr="000266DE">
        <w:rPr>
          <w:rFonts w:cs="Times New Roman"/>
        </w:rPr>
        <w:t>If an order of restitution is later overturned on appeal, the trial court must order the victim to repay the restitution to the defendant.</w:t>
      </w:r>
      <w:r>
        <w:rPr>
          <w:rStyle w:val="FootnoteReference"/>
          <w:rFonts w:cs="Times New Roman"/>
        </w:rPr>
        <w:footnoteReference w:id="59"/>
      </w:r>
      <w:r w:rsidR="00197247">
        <w:rPr>
          <w:rFonts w:cs="Times New Roman"/>
        </w:rPr>
        <w:t xml:space="preserve"> </w:t>
      </w:r>
    </w:p>
    <w:p w14:paraId="4C49F0E2" w14:textId="77777777" w:rsidR="00EE2DC0" w:rsidRDefault="00EE2DC0" w:rsidP="00EE2DC0">
      <w:pPr>
        <w:rPr>
          <w:rFonts w:cs="Times New Roman"/>
        </w:rPr>
      </w:pPr>
    </w:p>
    <w:p w14:paraId="1380F1AB" w14:textId="7438EB3C" w:rsidR="00EE2DC0" w:rsidRPr="00EE2DC0" w:rsidRDefault="00EE2DC0" w:rsidP="00EE2DC0">
      <w:pPr>
        <w:rPr>
          <w:rFonts w:cs="Times New Roman"/>
        </w:rPr>
      </w:pPr>
      <w:r>
        <w:rPr>
          <w:rFonts w:cs="Times New Roman"/>
        </w:rPr>
        <w:lastRenderedPageBreak/>
        <w:t>A defendant who challenges restitution as being “unsupported by the record challenges the legality, rather than the discretionary aspects of sentencing,” so that challenge can be raised for the first time on appeal.</w:t>
      </w:r>
      <w:r>
        <w:rPr>
          <w:rStyle w:val="FootnoteReference"/>
          <w:rFonts w:cs="Times New Roman"/>
        </w:rPr>
        <w:footnoteReference w:id="60"/>
      </w:r>
      <w:r>
        <w:rPr>
          <w:rFonts w:cs="Times New Roman"/>
        </w:rPr>
        <w:t xml:space="preserve"> </w:t>
      </w:r>
    </w:p>
    <w:p w14:paraId="72E1F142" w14:textId="77777777" w:rsidR="00590C1F" w:rsidRDefault="00590C1F" w:rsidP="00590C1F"/>
    <w:p w14:paraId="2230939E" w14:textId="77777777" w:rsidR="00590C1F" w:rsidRDefault="00590C1F" w:rsidP="00590C1F">
      <w:r>
        <w:rPr>
          <w:b/>
          <w:u w:val="single"/>
        </w:rPr>
        <w:t>Determining how much the defendant can afford to pay.</w:t>
      </w:r>
    </w:p>
    <w:p w14:paraId="3C9BCE18" w14:textId="77777777" w:rsidR="00590C1F" w:rsidRDefault="00590C1F" w:rsidP="00590C1F"/>
    <w:p w14:paraId="403E4350" w14:textId="77777777" w:rsidR="00820D37" w:rsidRDefault="00590C1F" w:rsidP="00590C1F">
      <w:r>
        <w:t xml:space="preserve">Despite numerous appellate decisions instructing trial courts to consider the defendant’s ability to pay when determining the amount of fines, costs, and restitution at sentencing, </w:t>
      </w:r>
      <w:r w:rsidR="00C26BC7">
        <w:t xml:space="preserve">Pennsylvania’s appellate courts have provided almost no guidance on </w:t>
      </w:r>
      <w:r w:rsidR="00C26BC7">
        <w:rPr>
          <w:i/>
        </w:rPr>
        <w:t>how</w:t>
      </w:r>
      <w:r w:rsidR="00C26BC7">
        <w:t xml:space="preserve"> to determin</w:t>
      </w:r>
      <w:r w:rsidR="003F4FB8">
        <w:t>e an appropriate dollar amount.</w:t>
      </w:r>
    </w:p>
    <w:p w14:paraId="2FA930AD" w14:textId="77777777" w:rsidR="003F4FB8" w:rsidRDefault="003F4FB8" w:rsidP="00590C1F"/>
    <w:p w14:paraId="08BD23CF" w14:textId="77777777" w:rsidR="009F1788" w:rsidRDefault="007C01C8" w:rsidP="00820D37">
      <w:pPr>
        <w:pStyle w:val="ListParagraph"/>
        <w:numPr>
          <w:ilvl w:val="0"/>
          <w:numId w:val="2"/>
        </w:numPr>
      </w:pPr>
      <w:r>
        <w:t xml:space="preserve">The Superior Court </w:t>
      </w:r>
      <w:r w:rsidR="005F5524">
        <w:t>has said that a defendant’s “</w:t>
      </w:r>
      <w:r w:rsidR="005F5524" w:rsidRPr="005F5524">
        <w:t>ability to pay a fine in the immediate future was seriously curtailed by the imposition of a prison term</w:t>
      </w:r>
      <w:r w:rsidR="005F5524">
        <w:t>,” suggesting that trial courts should focus on the near-future financial ability of a defendant.</w:t>
      </w:r>
      <w:r w:rsidR="009F1788">
        <w:rPr>
          <w:rStyle w:val="FootnoteReference"/>
        </w:rPr>
        <w:footnoteReference w:id="61"/>
      </w:r>
      <w:r w:rsidR="005F5524">
        <w:t xml:space="preserve"> </w:t>
      </w:r>
    </w:p>
    <w:p w14:paraId="5B137033" w14:textId="4CD2F008" w:rsidR="00D226ED" w:rsidRPr="00820D37" w:rsidRDefault="00D226ED" w:rsidP="00D226ED">
      <w:pPr>
        <w:pStyle w:val="ListParagraph"/>
        <w:numPr>
          <w:ilvl w:val="0"/>
          <w:numId w:val="2"/>
        </w:numPr>
        <w:rPr>
          <w:b/>
          <w:u w:val="single"/>
        </w:rPr>
      </w:pPr>
      <w:r>
        <w:t xml:space="preserve">There is no indication that the legislature intends defendants to spend years paying fines and costs, long after having </w:t>
      </w:r>
      <w:r w:rsidR="003F4FB8">
        <w:t xml:space="preserve">completed </w:t>
      </w:r>
      <w:r>
        <w:t xml:space="preserve">any potential jail sentence. </w:t>
      </w:r>
    </w:p>
    <w:p w14:paraId="13C4309E" w14:textId="5754E4B0" w:rsidR="006B7C17" w:rsidRDefault="00D226ED" w:rsidP="00820D37">
      <w:pPr>
        <w:pStyle w:val="ListParagraph"/>
        <w:numPr>
          <w:ilvl w:val="0"/>
          <w:numId w:val="2"/>
        </w:numPr>
      </w:pPr>
      <w:r>
        <w:t>In the absence of clear guidance, counsel should be prepared</w:t>
      </w:r>
      <w:r w:rsidR="003F4FB8">
        <w:t xml:space="preserve"> at sentencing</w:t>
      </w:r>
      <w:r>
        <w:t xml:space="preserve"> to suggest a </w:t>
      </w:r>
      <w:r w:rsidR="00D93FE8">
        <w:t>principled standard to the court, to determine how much the defendant should pay in fines and costs</w:t>
      </w:r>
      <w:r w:rsidR="00313968">
        <w:t>. Here are some suggestions</w:t>
      </w:r>
      <w:r>
        <w:t>:</w:t>
      </w:r>
    </w:p>
    <w:p w14:paraId="6889D9F0" w14:textId="2521DA0E" w:rsidR="00D226ED" w:rsidRDefault="00D226ED" w:rsidP="00D226ED">
      <w:pPr>
        <w:pStyle w:val="ListParagraph"/>
        <w:numPr>
          <w:ilvl w:val="1"/>
          <w:numId w:val="2"/>
        </w:numPr>
      </w:pPr>
      <w:r>
        <w:t xml:space="preserve">Defendants with severe and permanent disabilities, such as individuals who receive SSI, should have their fines and costs </w:t>
      </w:r>
      <w:r w:rsidR="000B24A3">
        <w:t>substantially reduced or completely waived, since they will be unlikely to be able to afford to pay anything</w:t>
      </w:r>
      <w:r>
        <w:t>.</w:t>
      </w:r>
      <w:r w:rsidR="000B24A3">
        <w:rPr>
          <w:rStyle w:val="FootnoteReference"/>
        </w:rPr>
        <w:footnoteReference w:id="62"/>
      </w:r>
      <w:r>
        <w:t xml:space="preserve"> </w:t>
      </w:r>
    </w:p>
    <w:p w14:paraId="0B7AC367" w14:textId="77777777" w:rsidR="00D226ED" w:rsidRDefault="00D226ED" w:rsidP="00D226ED">
      <w:pPr>
        <w:pStyle w:val="ListParagraph"/>
        <w:numPr>
          <w:ilvl w:val="1"/>
          <w:numId w:val="2"/>
        </w:numPr>
      </w:pPr>
      <w:r>
        <w:t xml:space="preserve">The defendant and the court should identify an amount that the defendant can reasonably afford to pay each month while on probation, and the fines and costs should be capped at the total the defendant would pay over the course of that supervision (e.g. $50 x 36 months of supervision). </w:t>
      </w:r>
    </w:p>
    <w:p w14:paraId="7FA6F984" w14:textId="77777777" w:rsidR="00D226ED" w:rsidRDefault="00D93FE8" w:rsidP="00D93FE8">
      <w:pPr>
        <w:pStyle w:val="ListParagraph"/>
        <w:numPr>
          <w:ilvl w:val="1"/>
          <w:numId w:val="2"/>
        </w:numPr>
      </w:pPr>
      <w:r>
        <w:t xml:space="preserve">The defendant should not pay fines and costs for a period of time longer than the maximum sentence. A defendant who is convicted of a crime with a possible maximum sentence of 5 years should have his payments capped at the amount he could reasonably pay over the course of that time (e.g. $50 x 60 months). If the court uses this calculation, it should subtract from that any months that the defendant will be incarcerated, as a defendant who is in jail is unlikely to have any ability to pay. </w:t>
      </w:r>
    </w:p>
    <w:p w14:paraId="43BF3883" w14:textId="77777777" w:rsidR="004E3A1E" w:rsidRDefault="004E3A1E" w:rsidP="004E3A1E">
      <w:pPr>
        <w:pStyle w:val="ListParagraph"/>
        <w:numPr>
          <w:ilvl w:val="0"/>
          <w:numId w:val="2"/>
        </w:numPr>
      </w:pPr>
      <w:r>
        <w:t>Regardless, it is only the defendant’s finances—not those of friends or family—that the court can consider.</w:t>
      </w:r>
      <w:r>
        <w:rPr>
          <w:rStyle w:val="FootnoteReference"/>
        </w:rPr>
        <w:footnoteReference w:id="63"/>
      </w:r>
    </w:p>
    <w:p w14:paraId="19E7C14D" w14:textId="77777777" w:rsidR="0006100B" w:rsidRDefault="0006100B" w:rsidP="0006100B"/>
    <w:p w14:paraId="6AEF53ED" w14:textId="77777777" w:rsidR="0006100B" w:rsidRDefault="0006100B" w:rsidP="0006100B">
      <w:r>
        <w:lastRenderedPageBreak/>
        <w:t xml:space="preserve">Consult our guide on determining “ability to pay” at </w:t>
      </w:r>
      <w:hyperlink r:id="rId8" w:history="1">
        <w:r w:rsidRPr="000260EE">
          <w:rPr>
            <w:rStyle w:val="Hyperlink"/>
          </w:rPr>
          <w:t>www.aclupa.org/finesandcosts</w:t>
        </w:r>
      </w:hyperlink>
      <w:r>
        <w:t xml:space="preserve"> to identify the types of information the court should consider at sentencing when it evaluates the defendant’s financial resources. </w:t>
      </w:r>
    </w:p>
    <w:p w14:paraId="7A73AAB3" w14:textId="77777777" w:rsidR="0006100B" w:rsidRDefault="0006100B" w:rsidP="0006100B"/>
    <w:sectPr w:rsidR="000610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18C41" w14:textId="77777777" w:rsidR="00E35334" w:rsidRDefault="00E35334" w:rsidP="008B1B68">
      <w:r>
        <w:separator/>
      </w:r>
    </w:p>
  </w:endnote>
  <w:endnote w:type="continuationSeparator" w:id="0">
    <w:p w14:paraId="5DD5155E" w14:textId="77777777" w:rsidR="00E35334" w:rsidRDefault="00E35334" w:rsidP="008B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452526"/>
      <w:docPartObj>
        <w:docPartGallery w:val="Page Numbers (Bottom of Page)"/>
        <w:docPartUnique/>
      </w:docPartObj>
    </w:sdtPr>
    <w:sdtEndPr>
      <w:rPr>
        <w:noProof/>
      </w:rPr>
    </w:sdtEndPr>
    <w:sdtContent>
      <w:p w14:paraId="20ED9A70" w14:textId="3971B882" w:rsidR="00272C31" w:rsidRDefault="00272C31">
        <w:pPr>
          <w:pStyle w:val="Footer"/>
          <w:jc w:val="center"/>
        </w:pPr>
        <w:r>
          <w:fldChar w:fldCharType="begin"/>
        </w:r>
        <w:r>
          <w:instrText xml:space="preserve"> PAGE   \* MERGEFORMAT </w:instrText>
        </w:r>
        <w:r>
          <w:fldChar w:fldCharType="separate"/>
        </w:r>
        <w:r w:rsidR="004B6EAC">
          <w:rPr>
            <w:noProof/>
          </w:rPr>
          <w:t>7</w:t>
        </w:r>
        <w:r>
          <w:rPr>
            <w:noProof/>
          </w:rPr>
          <w:fldChar w:fldCharType="end"/>
        </w:r>
      </w:p>
    </w:sdtContent>
  </w:sdt>
  <w:p w14:paraId="564A6F36" w14:textId="04CD5540" w:rsidR="00272C31" w:rsidRPr="003B1985" w:rsidRDefault="003B1985">
    <w:pPr>
      <w:pStyle w:val="Footer"/>
      <w:rPr>
        <w:sz w:val="20"/>
        <w:szCs w:val="20"/>
      </w:rPr>
    </w:pPr>
    <w:r w:rsidRPr="003B1985">
      <w:rPr>
        <w:sz w:val="20"/>
        <w:szCs w:val="20"/>
      </w:rPr>
      <w:t>Last updated 20</w:t>
    </w:r>
    <w:r w:rsidR="00B92434">
      <w:rPr>
        <w:sz w:val="20"/>
        <w:szCs w:val="20"/>
      </w:rPr>
      <w:t>20-</w:t>
    </w:r>
    <w:r w:rsidR="00D33174">
      <w:rPr>
        <w:sz w:val="20"/>
        <w:szCs w:val="20"/>
      </w:rPr>
      <w:t>09-16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9C9CB" w14:textId="77777777" w:rsidR="00E35334" w:rsidRDefault="00E35334" w:rsidP="008B1B68">
      <w:r>
        <w:separator/>
      </w:r>
    </w:p>
  </w:footnote>
  <w:footnote w:type="continuationSeparator" w:id="0">
    <w:p w14:paraId="015DBB1A" w14:textId="77777777" w:rsidR="00E35334" w:rsidRDefault="00E35334" w:rsidP="008B1B68">
      <w:r>
        <w:continuationSeparator/>
      </w:r>
    </w:p>
  </w:footnote>
  <w:footnote w:id="1">
    <w:p w14:paraId="1E7C9543" w14:textId="77777777" w:rsidR="009103C2" w:rsidRDefault="009103C2">
      <w:pPr>
        <w:pStyle w:val="FootnoteText"/>
      </w:pPr>
      <w:r>
        <w:rPr>
          <w:rStyle w:val="FootnoteReference"/>
        </w:rPr>
        <w:footnoteRef/>
      </w:r>
      <w:r>
        <w:t xml:space="preserve"> </w:t>
      </w:r>
      <w:r w:rsidRPr="00087884">
        <w:rPr>
          <w:rFonts w:cs="Times New Roman"/>
        </w:rPr>
        <w:t>How to determine whether the defendant is “able to pay</w:t>
      </w:r>
      <w:r>
        <w:rPr>
          <w:rFonts w:cs="Times New Roman"/>
        </w:rPr>
        <w:t>,</w:t>
      </w:r>
      <w:r w:rsidRPr="00087884">
        <w:rPr>
          <w:rFonts w:cs="Times New Roman"/>
        </w:rPr>
        <w:t>”</w:t>
      </w:r>
      <w:r>
        <w:rPr>
          <w:rFonts w:cs="Times New Roman"/>
        </w:rPr>
        <w:t xml:space="preserve"> as well as specific guides on the financial aspects of contempt and probation/parole,</w:t>
      </w:r>
      <w:r w:rsidRPr="00087884">
        <w:rPr>
          <w:rFonts w:cs="Times New Roman"/>
        </w:rPr>
        <w:t xml:space="preserve"> </w:t>
      </w:r>
      <w:r>
        <w:rPr>
          <w:rFonts w:cs="Times New Roman"/>
        </w:rPr>
        <w:t>are the subject of</w:t>
      </w:r>
      <w:r w:rsidRPr="00087884">
        <w:rPr>
          <w:rFonts w:cs="Times New Roman"/>
        </w:rPr>
        <w:t xml:space="preserve"> separate ACLU-PA Guide</w:t>
      </w:r>
      <w:r>
        <w:rPr>
          <w:rFonts w:cs="Times New Roman"/>
        </w:rPr>
        <w:t>s</w:t>
      </w:r>
      <w:r w:rsidRPr="00087884">
        <w:rPr>
          <w:rFonts w:cs="Times New Roman"/>
        </w:rPr>
        <w:t>.</w:t>
      </w:r>
    </w:p>
  </w:footnote>
  <w:footnote w:id="2">
    <w:p w14:paraId="2C76F7A8" w14:textId="77777777" w:rsidR="001E1877" w:rsidRDefault="001E1877">
      <w:pPr>
        <w:pStyle w:val="FootnoteText"/>
      </w:pPr>
      <w:r>
        <w:rPr>
          <w:rStyle w:val="FootnoteReference"/>
        </w:rPr>
        <w:footnoteRef/>
      </w:r>
      <w:r>
        <w:t xml:space="preserve"> </w:t>
      </w:r>
      <w:r>
        <w:rPr>
          <w:i/>
        </w:rPr>
        <w:t>Commonwealth v. Rivera</w:t>
      </w:r>
      <w:r>
        <w:t>, 95 A.3d 913, 916 (Pa. Super. Ct. 2014)</w:t>
      </w:r>
    </w:p>
  </w:footnote>
  <w:footnote w:id="3">
    <w:p w14:paraId="6B07AEB9" w14:textId="77777777" w:rsidR="007A746E" w:rsidRPr="007A746E" w:rsidRDefault="007A746E">
      <w:pPr>
        <w:pStyle w:val="FootnoteText"/>
      </w:pPr>
      <w:r>
        <w:rPr>
          <w:rStyle w:val="FootnoteReference"/>
        </w:rPr>
        <w:footnoteRef/>
      </w:r>
      <w:r>
        <w:t xml:space="preserve"> </w:t>
      </w:r>
      <w:r>
        <w:rPr>
          <w:i/>
        </w:rPr>
        <w:t>See</w:t>
      </w:r>
      <w:r>
        <w:t xml:space="preserve">, </w:t>
      </w:r>
      <w:r>
        <w:rPr>
          <w:i/>
        </w:rPr>
        <w:t>e.g.</w:t>
      </w:r>
      <w:r>
        <w:t xml:space="preserve">, </w:t>
      </w:r>
      <w:r>
        <w:rPr>
          <w:i/>
        </w:rPr>
        <w:t>Commonwealth</w:t>
      </w:r>
      <w:r w:rsidRPr="003062CF">
        <w:rPr>
          <w:i/>
        </w:rPr>
        <w:t xml:space="preserve"> v. Martin</w:t>
      </w:r>
      <w:r>
        <w:t xml:space="preserve">, 335 A.2d 424 (Pa. Super. Ct. 1975) (en banc) (trial court violated Rule 706(C) (then 1407) by failing to </w:t>
      </w:r>
      <w:r w:rsidR="00A03F6A">
        <w:t xml:space="preserve">consider the defendant’s ability to pay a $5,000 fine); </w:t>
      </w:r>
      <w:r w:rsidR="00A03F6A">
        <w:rPr>
          <w:i/>
        </w:rPr>
        <w:t>Commonwealth v. Mead</w:t>
      </w:r>
      <w:r w:rsidR="00A03F6A">
        <w:t>, 446 A.2d 971, 973 (Pa. Super. Ct. 1982) (Rule 706 (then 1407) and § 9726 require that a court determine “</w:t>
      </w:r>
      <w:r w:rsidR="00A03F6A" w:rsidRPr="00A03F6A">
        <w:t>on the record, whether he</w:t>
      </w:r>
      <w:r w:rsidR="00A03F6A">
        <w:t xml:space="preserve"> would be able to pay the fine”). </w:t>
      </w:r>
    </w:p>
  </w:footnote>
  <w:footnote w:id="4">
    <w:p w14:paraId="20C6EABB" w14:textId="1EE5EDCA" w:rsidR="00D87744" w:rsidRPr="00D87744" w:rsidRDefault="00D87744">
      <w:pPr>
        <w:pStyle w:val="FootnoteText"/>
      </w:pPr>
      <w:r>
        <w:rPr>
          <w:rStyle w:val="FootnoteReference"/>
        </w:rPr>
        <w:footnoteRef/>
      </w:r>
      <w:r>
        <w:t xml:space="preserve"> </w:t>
      </w:r>
      <w:r w:rsidR="00C53B21">
        <w:rPr>
          <w:i/>
        </w:rPr>
        <w:t>Commonwealth v. Ford</w:t>
      </w:r>
      <w:r w:rsidR="00C53B21">
        <w:t xml:space="preserve">, 217 A.3d 824, 828-29 (Pa. 2019); </w:t>
      </w:r>
      <w:r>
        <w:rPr>
          <w:i/>
        </w:rPr>
        <w:t>Commonwealth v. Heggenstaller</w:t>
      </w:r>
      <w:r>
        <w:t>, 699 A.2d 767, 769 (Pa. Super. Ct. 1997).</w:t>
      </w:r>
    </w:p>
  </w:footnote>
  <w:footnote w:id="5">
    <w:p w14:paraId="78951748" w14:textId="24523320" w:rsidR="00C53B21" w:rsidRPr="00C53B21" w:rsidRDefault="00C53B21">
      <w:pPr>
        <w:pStyle w:val="FootnoteText"/>
      </w:pPr>
      <w:r>
        <w:rPr>
          <w:rStyle w:val="FootnoteReference"/>
        </w:rPr>
        <w:footnoteRef/>
      </w:r>
      <w:r>
        <w:t xml:space="preserve"> </w:t>
      </w:r>
      <w:r>
        <w:rPr>
          <w:i/>
        </w:rPr>
        <w:t>Ford</w:t>
      </w:r>
      <w:r>
        <w:t>, 217 A.3d at 831 and n.14 (“</w:t>
      </w:r>
      <w:r w:rsidRPr="00C53B21">
        <w:t xml:space="preserve">Brief for Commonwealth at 9. Indeed, in many cases the trial court will be able to ascertain the defendant's ability to pay </w:t>
      </w:r>
      <w:r>
        <w:t>by asking one simple question: ‘</w:t>
      </w:r>
      <w:r w:rsidRPr="00C53B21">
        <w:t>How do you plan to pay your fines?</w:t>
      </w:r>
      <w:r>
        <w:t>’</w:t>
      </w:r>
      <w:r w:rsidRPr="00C53B21">
        <w:t>”</w:t>
      </w:r>
      <w:r>
        <w:t>).</w:t>
      </w:r>
    </w:p>
  </w:footnote>
  <w:footnote w:id="6">
    <w:p w14:paraId="0A27B904" w14:textId="477E58CE" w:rsidR="006108D3" w:rsidRDefault="006108D3" w:rsidP="006108D3">
      <w:pPr>
        <w:pStyle w:val="FootnoteText"/>
      </w:pPr>
      <w:r>
        <w:rPr>
          <w:rStyle w:val="FootnoteReference"/>
        </w:rPr>
        <w:footnoteRef/>
      </w:r>
      <w:r>
        <w:t xml:space="preserve"> </w:t>
      </w:r>
      <w:r w:rsidR="00C53B21">
        <w:rPr>
          <w:i/>
        </w:rPr>
        <w:t>Ford</w:t>
      </w:r>
      <w:r w:rsidR="00C53B21">
        <w:t xml:space="preserve">, 217 A.3d at 831. </w:t>
      </w:r>
      <w:r w:rsidRPr="001265A6">
        <w:rPr>
          <w:i/>
        </w:rPr>
        <w:t>Commonwealth v. Gaskin</w:t>
      </w:r>
      <w:r w:rsidRPr="002F07F0">
        <w:t>, 472 A.2d 1154, 1157 (Pa. Super. Ct. 1984).</w:t>
      </w:r>
    </w:p>
  </w:footnote>
  <w:footnote w:id="7">
    <w:p w14:paraId="30F180F5" w14:textId="77777777" w:rsidR="006108D3" w:rsidRPr="006108D3" w:rsidRDefault="006108D3">
      <w:pPr>
        <w:pStyle w:val="FootnoteText"/>
      </w:pPr>
      <w:r>
        <w:rPr>
          <w:rStyle w:val="FootnoteReference"/>
        </w:rPr>
        <w:footnoteRef/>
      </w:r>
      <w:r>
        <w:t xml:space="preserve"> </w:t>
      </w:r>
      <w:r>
        <w:rPr>
          <w:i/>
        </w:rPr>
        <w:t>Commonwealth v. Fusco</w:t>
      </w:r>
      <w:r>
        <w:t xml:space="preserve">, 593 A.2d 373, 375 n.1 (Pa. Super. Ct. 1991). </w:t>
      </w:r>
    </w:p>
  </w:footnote>
  <w:footnote w:id="8">
    <w:p w14:paraId="649E0644" w14:textId="31136B5E" w:rsidR="005C758E" w:rsidRPr="005C758E" w:rsidRDefault="005C758E">
      <w:pPr>
        <w:pStyle w:val="FootnoteText"/>
      </w:pPr>
      <w:r>
        <w:rPr>
          <w:rStyle w:val="FootnoteReference"/>
        </w:rPr>
        <w:footnoteRef/>
      </w:r>
      <w:r>
        <w:t xml:space="preserve"> </w:t>
      </w:r>
      <w:r>
        <w:rPr>
          <w:i/>
        </w:rPr>
        <w:t>Ford</w:t>
      </w:r>
      <w:r>
        <w:t>, 217 A.3d at 831.</w:t>
      </w:r>
    </w:p>
  </w:footnote>
  <w:footnote w:id="9">
    <w:p w14:paraId="3BECFAD1" w14:textId="77777777" w:rsidR="007A4238" w:rsidRDefault="007A4238" w:rsidP="007A4238">
      <w:pPr>
        <w:pStyle w:val="FootnoteText"/>
      </w:pPr>
      <w:r>
        <w:rPr>
          <w:rStyle w:val="FootnoteReference"/>
        </w:rPr>
        <w:footnoteRef/>
      </w:r>
      <w:r>
        <w:t xml:space="preserve"> </w:t>
      </w:r>
      <w:r>
        <w:rPr>
          <w:i/>
        </w:rPr>
        <w:t>Commonwealth v. Schwartz</w:t>
      </w:r>
      <w:r>
        <w:t>, 418 A.2d 637, 638-39 (Pa. Super. Ct. 1980).</w:t>
      </w:r>
    </w:p>
  </w:footnote>
  <w:footnote w:id="10">
    <w:p w14:paraId="0D5EE62A" w14:textId="77777777" w:rsidR="006226C7" w:rsidRPr="006226C7" w:rsidRDefault="006226C7" w:rsidP="006226C7">
      <w:pPr>
        <w:pStyle w:val="FootnoteText"/>
      </w:pPr>
      <w:r>
        <w:rPr>
          <w:rStyle w:val="FootnoteReference"/>
        </w:rPr>
        <w:footnoteRef/>
      </w:r>
      <w:r>
        <w:t xml:space="preserve"> </w:t>
      </w:r>
      <w:r>
        <w:rPr>
          <w:i/>
        </w:rPr>
        <w:t>Commonwealth v. Thomas</w:t>
      </w:r>
      <w:r>
        <w:t>, 879 A.2d 246, 264 (Pa. Super. Ct. 2005) (“</w:t>
      </w:r>
      <w:r w:rsidRPr="006226C7">
        <w:t>Imposition of a fine is not precluded merely because the defendant cannot pay the fine immediately or because he cannot do so without difficulty.</w:t>
      </w:r>
      <w:r>
        <w:t>”).</w:t>
      </w:r>
    </w:p>
  </w:footnote>
  <w:footnote w:id="11">
    <w:p w14:paraId="0CB0A29E" w14:textId="46475181" w:rsidR="00502D31" w:rsidRPr="00CC3389" w:rsidRDefault="00502D31" w:rsidP="00502D31">
      <w:pPr>
        <w:pStyle w:val="FootnoteText"/>
      </w:pPr>
      <w:r>
        <w:rPr>
          <w:rStyle w:val="FootnoteReference"/>
        </w:rPr>
        <w:footnoteRef/>
      </w:r>
      <w:r>
        <w:t xml:space="preserve"> </w:t>
      </w:r>
      <w:r>
        <w:rPr>
          <w:i/>
        </w:rPr>
        <w:t>See</w:t>
      </w:r>
      <w:r>
        <w:t xml:space="preserve">, </w:t>
      </w:r>
      <w:r>
        <w:rPr>
          <w:i/>
        </w:rPr>
        <w:t>e.g.</w:t>
      </w:r>
      <w:r>
        <w:t>,</w:t>
      </w:r>
      <w:r w:rsidR="00C53B21">
        <w:t xml:space="preserve"> </w:t>
      </w:r>
      <w:r w:rsidR="00C53B21">
        <w:rPr>
          <w:i/>
        </w:rPr>
        <w:t>Ford</w:t>
      </w:r>
      <w:r w:rsidR="00C53B21">
        <w:t>, 217 A.3d at 831.</w:t>
      </w:r>
      <w:r>
        <w:t xml:space="preserve"> </w:t>
      </w:r>
      <w:r>
        <w:rPr>
          <w:i/>
        </w:rPr>
        <w:t>Thomas</w:t>
      </w:r>
      <w:r>
        <w:t xml:space="preserve">, 879 A.2d </w:t>
      </w:r>
      <w:r w:rsidR="00EC73B8">
        <w:t>at</w:t>
      </w:r>
      <w:r>
        <w:t xml:space="preserve"> 264 (invalidating $6,000 fine where court “</w:t>
      </w:r>
      <w:r w:rsidRPr="003B2DC0">
        <w:t xml:space="preserve">stated merely that it had </w:t>
      </w:r>
      <w:r>
        <w:t>‘</w:t>
      </w:r>
      <w:r w:rsidRPr="003B2DC0">
        <w:t>all the appropriate information,</w:t>
      </w:r>
      <w:r>
        <w:t>’</w:t>
      </w:r>
      <w:r w:rsidRPr="003B2DC0">
        <w:t xml:space="preserve"> knowing appellant's history and his recent ten year sentence to federal prison</w:t>
      </w:r>
      <w:r>
        <w:t xml:space="preserve">”); </w:t>
      </w:r>
      <w:r>
        <w:rPr>
          <w:i/>
        </w:rPr>
        <w:t>Mead</w:t>
      </w:r>
      <w:r>
        <w:t xml:space="preserve">, 446 </w:t>
      </w:r>
      <w:r w:rsidR="00135BC5">
        <w:t xml:space="preserve">at </w:t>
      </w:r>
      <w:r>
        <w:t xml:space="preserve"> 973-74 (fine improper where sentencing court did not have information about current income, indebtedness, living situation, or ability to pay restitution); </w:t>
      </w:r>
      <w:r>
        <w:rPr>
          <w:i/>
        </w:rPr>
        <w:t>Commonwealth v. Reardon</w:t>
      </w:r>
      <w:r>
        <w:t xml:space="preserve">, 443 A.2d 792, 795 (Pa. Super. Ct. 1981) (court failed to consider the defendant’s financial status and reasons for imposing a fine); </w:t>
      </w:r>
      <w:r>
        <w:rPr>
          <w:i/>
        </w:rPr>
        <w:t>Commonwealth v. Fusco</w:t>
      </w:r>
      <w:r>
        <w:t>, 594 A.2d 373, 355-56 (Pa. Super. Ct. 1991) (information that a defendant would be working, without an indication of income, was not sufficient to show he could pay a $10,000 fine).</w:t>
      </w:r>
    </w:p>
  </w:footnote>
  <w:footnote w:id="12">
    <w:p w14:paraId="6F5B3434" w14:textId="186C3FE2" w:rsidR="004500D1" w:rsidRPr="00EA657C" w:rsidRDefault="004500D1" w:rsidP="00EA657C">
      <w:pPr>
        <w:pStyle w:val="FootnoteText"/>
      </w:pPr>
      <w:r>
        <w:rPr>
          <w:rStyle w:val="FootnoteReference"/>
        </w:rPr>
        <w:footnoteRef/>
      </w:r>
      <w:r>
        <w:t xml:space="preserve"> </w:t>
      </w:r>
      <w:r w:rsidRPr="003632A4">
        <w:t xml:space="preserve">The Superior Court has </w:t>
      </w:r>
      <w:r w:rsidR="00EA657C">
        <w:t>ruled</w:t>
      </w:r>
      <w:r w:rsidRPr="003632A4">
        <w:t xml:space="preserve"> that § 9726 does not apply to mandatory </w:t>
      </w:r>
      <w:r w:rsidRPr="00EA657C">
        <w:t>fines</w:t>
      </w:r>
      <w:r w:rsidR="00EA657C" w:rsidRPr="00EA657C">
        <w:t xml:space="preserve">. </w:t>
      </w:r>
      <w:r w:rsidR="00EA657C" w:rsidRPr="00EA657C">
        <w:rPr>
          <w:i/>
        </w:rPr>
        <w:t>See</w:t>
      </w:r>
      <w:r w:rsidRPr="00EA657C">
        <w:t xml:space="preserve"> </w:t>
      </w:r>
      <w:r w:rsidR="00EA657C" w:rsidRPr="00EA657C">
        <w:rPr>
          <w:i/>
        </w:rPr>
        <w:t>Commonwealth v. Cherpes</w:t>
      </w:r>
      <w:r w:rsidR="00EA657C" w:rsidRPr="00EA657C">
        <w:t>, 520 A.2d 439, 449 (Pa. Super. Ct. 1987)</w:t>
      </w:r>
      <w:r w:rsidR="00EA657C">
        <w:t xml:space="preserve">. However, </w:t>
      </w:r>
      <w:r w:rsidR="00EA657C" w:rsidRPr="00EA657C">
        <w:rPr>
          <w:i/>
        </w:rPr>
        <w:t>Cherpes</w:t>
      </w:r>
      <w:r w:rsidR="00EA657C">
        <w:rPr>
          <w:i/>
        </w:rPr>
        <w:t xml:space="preserve"> </w:t>
      </w:r>
      <w:r w:rsidR="00EA657C">
        <w:t xml:space="preserve">failed to follow the basic rule of statutory interpretation that a specific provision prevails over a general provision </w:t>
      </w:r>
      <w:r w:rsidR="00EA657C">
        <w:rPr>
          <w:i/>
        </w:rPr>
        <w:t>only</w:t>
      </w:r>
      <w:r w:rsidR="00EA657C">
        <w:t xml:space="preserve"> </w:t>
      </w:r>
      <w:r w:rsidR="00EA657C">
        <w:rPr>
          <w:i/>
        </w:rPr>
        <w:t>if</w:t>
      </w:r>
      <w:r w:rsidR="00EA657C">
        <w:t xml:space="preserve"> they are irreconcilable. </w:t>
      </w:r>
      <w:r w:rsidR="00EA657C">
        <w:rPr>
          <w:i/>
        </w:rPr>
        <w:t xml:space="preserve">See </w:t>
      </w:r>
      <w:r>
        <w:t>1 Pa</w:t>
      </w:r>
      <w:r w:rsidR="00D84DC6">
        <w:t xml:space="preserve">.C.S. </w:t>
      </w:r>
      <w:r>
        <w:t xml:space="preserve">§ 1333. A perfectly consistent reading would be that certain fines are mandatory unless the defendant is unable to pay them. </w:t>
      </w:r>
      <w:r w:rsidR="00EA657C">
        <w:t xml:space="preserve">As a result, counsel should consider preserving the issue to argue that </w:t>
      </w:r>
      <w:r w:rsidR="00EA657C">
        <w:rPr>
          <w:i/>
        </w:rPr>
        <w:t>Cherpes</w:t>
      </w:r>
      <w:r w:rsidR="00EA657C">
        <w:t xml:space="preserve"> should be overturned. </w:t>
      </w:r>
    </w:p>
  </w:footnote>
  <w:footnote w:id="13">
    <w:p w14:paraId="2BEDC945" w14:textId="579DCFD6" w:rsidR="00213A7A" w:rsidRPr="00213A7A" w:rsidRDefault="00213A7A">
      <w:pPr>
        <w:pStyle w:val="FootnoteText"/>
      </w:pPr>
      <w:r>
        <w:rPr>
          <w:rStyle w:val="FootnoteReference"/>
        </w:rPr>
        <w:footnoteRef/>
      </w:r>
      <w:r>
        <w:t xml:space="preserve"> </w:t>
      </w:r>
      <w:r>
        <w:rPr>
          <w:i/>
        </w:rPr>
        <w:t>Commonwealth v. Boyd</w:t>
      </w:r>
      <w:r>
        <w:t xml:space="preserve">, 73 A.3d 1269, 1272 (Pa. Super. Ct. 2013) (en banc). </w:t>
      </w:r>
    </w:p>
  </w:footnote>
  <w:footnote w:id="14">
    <w:p w14:paraId="4D37E9EF" w14:textId="36EDEA44" w:rsidR="00CB2D7E" w:rsidRPr="00CB2D7E" w:rsidRDefault="00CB2D7E">
      <w:pPr>
        <w:pStyle w:val="FootnoteText"/>
      </w:pPr>
      <w:r>
        <w:rPr>
          <w:rStyle w:val="FootnoteReference"/>
        </w:rPr>
        <w:footnoteRef/>
      </w:r>
      <w:r>
        <w:t xml:space="preserve"> </w:t>
      </w:r>
      <w:r>
        <w:rPr>
          <w:i/>
        </w:rPr>
        <w:t>Id</w:t>
      </w:r>
      <w:r>
        <w:t xml:space="preserve">. </w:t>
      </w:r>
    </w:p>
  </w:footnote>
  <w:footnote w:id="15">
    <w:p w14:paraId="18EEA08F" w14:textId="44673D18" w:rsidR="00F877BF" w:rsidRDefault="00F877BF">
      <w:pPr>
        <w:pStyle w:val="FootnoteText"/>
      </w:pPr>
      <w:r>
        <w:rPr>
          <w:rStyle w:val="FootnoteReference"/>
        </w:rPr>
        <w:footnoteRef/>
      </w:r>
      <w:r>
        <w:t xml:space="preserve"> </w:t>
      </w:r>
      <w:r>
        <w:rPr>
          <w:i/>
        </w:rPr>
        <w:t>Rivera</w:t>
      </w:r>
      <w:r>
        <w:t xml:space="preserve">, 95 A.3d </w:t>
      </w:r>
      <w:r w:rsidR="001265A6">
        <w:t>at</w:t>
      </w:r>
      <w:r>
        <w:t xml:space="preserve"> 916.</w:t>
      </w:r>
    </w:p>
  </w:footnote>
  <w:footnote w:id="16">
    <w:p w14:paraId="3527DC1C" w14:textId="0D94EACC" w:rsidR="003E7845" w:rsidRDefault="003E7845">
      <w:pPr>
        <w:pStyle w:val="FootnoteText"/>
      </w:pPr>
      <w:r>
        <w:rPr>
          <w:rStyle w:val="FootnoteReference"/>
        </w:rPr>
        <w:footnoteRef/>
      </w:r>
      <w:r>
        <w:t xml:space="preserve"> </w:t>
      </w:r>
      <w:r>
        <w:rPr>
          <w:i/>
        </w:rPr>
        <w:t>Commonwealth v. Childs</w:t>
      </w:r>
      <w:r>
        <w:t xml:space="preserve">, 63 A.3d 323, 326 (Pa. Super. Ct. 2013). </w:t>
      </w:r>
      <w:r>
        <w:rPr>
          <w:i/>
        </w:rPr>
        <w:t>See also</w:t>
      </w:r>
      <w:r>
        <w:t xml:space="preserve"> </w:t>
      </w:r>
      <w:r>
        <w:rPr>
          <w:i/>
        </w:rPr>
        <w:t>Commonwealth v. Burrows</w:t>
      </w:r>
      <w:r>
        <w:t>, 88 WDA 2017, 2017 WL 4974752 (Pa. Super. Ct. Oct. 31, 2017) (Rule 706(C) “</w:t>
      </w:r>
      <w:r w:rsidRPr="00E44CD0">
        <w:t>permits the trial court to consider the burden of the amount of costs in light of a defendant's financial means</w:t>
      </w:r>
      <w:r>
        <w:t>”).</w:t>
      </w:r>
    </w:p>
  </w:footnote>
  <w:footnote w:id="17">
    <w:p w14:paraId="1592568F" w14:textId="30F25482" w:rsidR="00866F8C" w:rsidRPr="00866F8C" w:rsidRDefault="00866F8C">
      <w:pPr>
        <w:pStyle w:val="FootnoteText"/>
      </w:pPr>
      <w:r>
        <w:rPr>
          <w:rStyle w:val="FootnoteReference"/>
        </w:rPr>
        <w:footnoteRef/>
      </w:r>
      <w:r>
        <w:t xml:space="preserve"> Statutes dealing with the imposition of costs must be read </w:t>
      </w:r>
      <w:r>
        <w:rPr>
          <w:i/>
        </w:rPr>
        <w:t>in pari materia</w:t>
      </w:r>
      <w:r>
        <w:t xml:space="preserve"> and construed “if possible, so that effect may be given to both.” 1 Pa</w:t>
      </w:r>
      <w:r w:rsidR="00D84DC6">
        <w:t>.C.S.</w:t>
      </w:r>
      <w:r>
        <w:t xml:space="preserve"> § 1933. There is no inherent conflict between individual statutes that impose court costs and § 9728(b.2), as it can easily be interpreted as simply providing a separate procedure if a defendant is too poor to pay costs.</w:t>
      </w:r>
      <w:r w:rsidR="00A971EF">
        <w:t xml:space="preserve"> After all, none of the individual statutes that impose specific court costs address what happens if the defendant is unable to pay</w:t>
      </w:r>
      <w:r w:rsidR="002662D9">
        <w:t xml:space="preserve"> those costs</w:t>
      </w:r>
      <w:r w:rsidR="00A971EF">
        <w:t>.</w:t>
      </w:r>
      <w:r>
        <w:t xml:space="preserve"> To the extent there is any conflict, § 1933 explains that specific</w:t>
      </w:r>
      <w:r w:rsidR="00D41D33">
        <w:t xml:space="preserve"> statutes generally prevail</w:t>
      </w:r>
      <w:r w:rsidRPr="00866F8C">
        <w:t xml:space="preserve"> “</w:t>
      </w:r>
      <w:r w:rsidRPr="00866F8C">
        <w:rPr>
          <w:i/>
        </w:rPr>
        <w:t>unless</w:t>
      </w:r>
      <w:r w:rsidRPr="00866F8C">
        <w:t xml:space="preserve"> the general provision shall be enacted later and it shall be the manifest intention of the General Assembly that such general provision shall prevail.” (emphasis added). </w:t>
      </w:r>
      <w:r>
        <w:t>Section 9728(b.2) was enacted long after other statutes that impose costs.</w:t>
      </w:r>
      <w:r w:rsidRPr="00866F8C">
        <w:t xml:space="preserve"> Moreover, the General Assembly, in enacting these statutes, has demonstrated its “manifest intention” that they trump older, more specific statutes. </w:t>
      </w:r>
      <w:r>
        <w:t>W</w:t>
      </w:r>
      <w:r w:rsidRPr="00866F8C">
        <w:t xml:space="preserve">hen a statute uses the “notwithstanding any other provision of this title or other statute to the contrary,” </w:t>
      </w:r>
      <w:r>
        <w:t xml:space="preserve">language, it </w:t>
      </w:r>
      <w:r w:rsidRPr="00866F8C">
        <w:t xml:space="preserve">“clearly indicates that the legislature intended to limit the application of prior” statutes. </w:t>
      </w:r>
      <w:r w:rsidRPr="005E7DE5">
        <w:rPr>
          <w:i/>
        </w:rPr>
        <w:t>Commonwealth v. Smith</w:t>
      </w:r>
      <w:r w:rsidRPr="00866F8C">
        <w:t xml:space="preserve">, 544 A.2d 991, 998 (Pa. Super. Ct. 1988) (en banc). </w:t>
      </w:r>
      <w:r>
        <w:t>As a result of these fundamental statutory interpretation rules, all costs are waivable.</w:t>
      </w:r>
    </w:p>
  </w:footnote>
  <w:footnote w:id="18">
    <w:p w14:paraId="2A0F5FCD" w14:textId="77777777" w:rsidR="00BB2FEC" w:rsidRDefault="00BB2FEC">
      <w:pPr>
        <w:pStyle w:val="FootnoteText"/>
      </w:pPr>
      <w:r>
        <w:rPr>
          <w:rStyle w:val="FootnoteReference"/>
        </w:rPr>
        <w:footnoteRef/>
      </w:r>
      <w:r>
        <w:t xml:space="preserve"> Pennsylvania House of Representatives Judiciary Committee, SB 1169 Bill Analysis (Sept. 15, 2010) PN 2181.</w:t>
      </w:r>
    </w:p>
  </w:footnote>
  <w:footnote w:id="19">
    <w:p w14:paraId="3E08ACF5" w14:textId="3EBE7E81" w:rsidR="00D2321D" w:rsidRPr="00D2321D" w:rsidRDefault="00D2321D">
      <w:pPr>
        <w:pStyle w:val="FootnoteText"/>
      </w:pPr>
      <w:r>
        <w:rPr>
          <w:rStyle w:val="FootnoteReference"/>
        </w:rPr>
        <w:footnoteRef/>
      </w:r>
      <w:r>
        <w:t xml:space="preserve"> </w:t>
      </w:r>
      <w:r>
        <w:rPr>
          <w:i/>
        </w:rPr>
        <w:t>Commonwealth v. Mulkin</w:t>
      </w:r>
      <w:r>
        <w:t>, --A.3d--, 2020 PA Super 30 (Pa. Super. Ct. 2020).</w:t>
      </w:r>
    </w:p>
  </w:footnote>
  <w:footnote w:id="20">
    <w:p w14:paraId="300D03E9" w14:textId="5BFD49CC" w:rsidR="009B57B2" w:rsidRPr="009B57B2" w:rsidRDefault="009B57B2">
      <w:pPr>
        <w:pStyle w:val="FootnoteText"/>
      </w:pPr>
      <w:r>
        <w:rPr>
          <w:rStyle w:val="FootnoteReference"/>
        </w:rPr>
        <w:footnoteRef/>
      </w:r>
      <w:r>
        <w:t xml:space="preserve"> </w:t>
      </w:r>
      <w:r>
        <w:rPr>
          <w:i/>
        </w:rPr>
        <w:t xml:space="preserve">Compare </w:t>
      </w:r>
      <w:r w:rsidRPr="003062CF">
        <w:rPr>
          <w:i/>
        </w:rPr>
        <w:t>Martin</w:t>
      </w:r>
      <w:r>
        <w:t xml:space="preserve">, 335 A.2d </w:t>
      </w:r>
      <w:r w:rsidR="00135BC5">
        <w:t>at 425-26</w:t>
      </w:r>
      <w:r>
        <w:t xml:space="preserve"> (en banc) (trial court violated Rule 706(C) (then 1407) by failing to consider the defendant’s ability to pay a $5,000 fine</w:t>
      </w:r>
      <w:r w:rsidR="001D0E66">
        <w:t xml:space="preserve"> at sentencing</w:t>
      </w:r>
      <w:r>
        <w:t xml:space="preserve">) </w:t>
      </w:r>
      <w:r>
        <w:rPr>
          <w:i/>
        </w:rPr>
        <w:t>with Childs</w:t>
      </w:r>
      <w:r>
        <w:t xml:space="preserve">, 63 A.3d at 326 (Rule 706(C) does not require an ability-to-pay hearing at sentencing). </w:t>
      </w:r>
    </w:p>
  </w:footnote>
  <w:footnote w:id="21">
    <w:p w14:paraId="2DBC0F94" w14:textId="73947E7E" w:rsidR="00D2321D" w:rsidRPr="001E77CB" w:rsidRDefault="00D2321D">
      <w:pPr>
        <w:pStyle w:val="FootnoteText"/>
      </w:pPr>
      <w:r>
        <w:rPr>
          <w:rStyle w:val="FootnoteReference"/>
        </w:rPr>
        <w:footnoteRef/>
      </w:r>
      <w:r>
        <w:t xml:space="preserve"> </w:t>
      </w:r>
      <w:r w:rsidR="001E77CB">
        <w:rPr>
          <w:i/>
        </w:rPr>
        <w:t>Mulkin</w:t>
      </w:r>
      <w:r w:rsidR="001E77CB">
        <w:t xml:space="preserve">, 2020 PA Super 30. </w:t>
      </w:r>
    </w:p>
  </w:footnote>
  <w:footnote w:id="22">
    <w:p w14:paraId="238A4688" w14:textId="341B5702" w:rsidR="00F877BF" w:rsidRDefault="00F877BF">
      <w:pPr>
        <w:pStyle w:val="FootnoteText"/>
      </w:pPr>
      <w:r>
        <w:rPr>
          <w:rStyle w:val="FootnoteReference"/>
        </w:rPr>
        <w:footnoteRef/>
      </w:r>
      <w:r w:rsidR="00802B4C">
        <w:t xml:space="preserve"> </w:t>
      </w:r>
      <w:r>
        <w:rPr>
          <w:i/>
        </w:rPr>
        <w:t>Rivera</w:t>
      </w:r>
      <w:r>
        <w:t xml:space="preserve">, 95 A.3d </w:t>
      </w:r>
      <w:r w:rsidR="005E7DE5">
        <w:t>at</w:t>
      </w:r>
      <w:r>
        <w:t xml:space="preserve"> 916.</w:t>
      </w:r>
      <w:r w:rsidR="003E46CF">
        <w:t xml:space="preserve"> </w:t>
      </w:r>
      <w:r w:rsidR="003E46CF">
        <w:rPr>
          <w:i/>
        </w:rPr>
        <w:t>See also Commonwealth v. Hudson</w:t>
      </w:r>
      <w:r w:rsidR="003E46CF">
        <w:t>, 231 A.3d 974, 980-81 (Pa. Super. Ct. 2020 (“</w:t>
      </w:r>
      <w:r w:rsidR="003E46CF" w:rsidRPr="003E46CF">
        <w:t xml:space="preserve">It is clear from our reading of </w:t>
      </w:r>
      <w:r w:rsidR="003E46CF" w:rsidRPr="000B46D2">
        <w:rPr>
          <w:i/>
        </w:rPr>
        <w:t>Rivera</w:t>
      </w:r>
      <w:r w:rsidR="003E46CF" w:rsidRPr="003E46CF">
        <w:t xml:space="preserve"> that court costs do not reasonably relate to the rehabilitation that probation is designed to foster, and t</w:t>
      </w:r>
      <w:r w:rsidR="000B46D2">
        <w:t xml:space="preserve">hus, cannot be subsumed within </w:t>
      </w:r>
      <w:r w:rsidR="003E46CF" w:rsidRPr="003E46CF">
        <w:t>the catchall provision of Section 9754.</w:t>
      </w:r>
      <w:r w:rsidR="0071614E">
        <w:t xml:space="preserve"> . . </w:t>
      </w:r>
      <w:r w:rsidR="0071614E" w:rsidRPr="0071614E">
        <w:t>Section 9754 does not authorize the imposition of court costs as a condition of probation</w:t>
      </w:r>
      <w:r w:rsidR="003E46CF">
        <w:t>”).</w:t>
      </w:r>
      <w:r>
        <w:t xml:space="preserve"> The only</w:t>
      </w:r>
      <w:r w:rsidR="00C54875">
        <w:t xml:space="preserve"> possible</w:t>
      </w:r>
      <w:r>
        <w:t xml:space="preserve"> exception </w:t>
      </w:r>
      <w:r w:rsidR="00C54875">
        <w:t>is for probation</w:t>
      </w:r>
      <w:r>
        <w:t xml:space="preserve"> supervision fees, as the statute that imposes that cost specifically requires that it is a condition of supervision.</w:t>
      </w:r>
      <w:r w:rsidR="00921A0E">
        <w:t xml:space="preserve"> </w:t>
      </w:r>
      <w:r w:rsidR="00921A0E">
        <w:rPr>
          <w:i/>
        </w:rPr>
        <w:t>See</w:t>
      </w:r>
      <w:r>
        <w:t xml:space="preserve"> 18 P.S. § 11.1102. </w:t>
      </w:r>
      <w:r w:rsidR="00C54875">
        <w:t xml:space="preserve">Pennsylvania’s courts have never addressed whether this provision would permit a court to find that a defendant has committed a probation violation for nonpayment. Notably, it is not a condition set forth in 42 Pa.C.S. § </w:t>
      </w:r>
      <w:r w:rsidR="00CC56D5">
        <w:t xml:space="preserve">9763 </w:t>
      </w:r>
      <w:r w:rsidR="00CC56D5">
        <w:t>(</w:t>
      </w:r>
      <w:r w:rsidR="00CC56D5">
        <w:t>formerly § 9754</w:t>
      </w:r>
      <w:r w:rsidR="00CC56D5">
        <w:t>)</w:t>
      </w:r>
      <w:r w:rsidR="00C54875">
        <w:t xml:space="preserve">. </w:t>
      </w:r>
    </w:p>
  </w:footnote>
  <w:footnote w:id="23">
    <w:p w14:paraId="0AC0A773" w14:textId="22C35608" w:rsidR="00A138AF" w:rsidRPr="00523B04" w:rsidRDefault="00A138AF">
      <w:pPr>
        <w:pStyle w:val="FootnoteText"/>
      </w:pPr>
      <w:r>
        <w:rPr>
          <w:rStyle w:val="FootnoteReference"/>
        </w:rPr>
        <w:footnoteRef/>
      </w:r>
      <w:r>
        <w:t xml:space="preserve"> </w:t>
      </w:r>
      <w:r>
        <w:rPr>
          <w:i/>
        </w:rPr>
        <w:t>Commonwealth v. Coder</w:t>
      </w:r>
      <w:r>
        <w:t>, 415 A.2d 406, 410 (Pa. 1980)</w:t>
      </w:r>
      <w:r w:rsidR="0075679F">
        <w:t xml:space="preserve"> (“</w:t>
      </w:r>
      <w:r w:rsidR="00523B04" w:rsidRPr="00523B04">
        <w:t>As discussed above, a defendant may be required to only pay costs authorized by statute.</w:t>
      </w:r>
      <w:r w:rsidR="00523B04">
        <w:t xml:space="preserve">”); </w:t>
      </w:r>
      <w:r w:rsidR="00523B04">
        <w:rPr>
          <w:i/>
        </w:rPr>
        <w:t>Commonwealth v. Gill</w:t>
      </w:r>
      <w:r w:rsidR="00523B04">
        <w:t xml:space="preserve">, 432 A.2d 1001, 1004 (Pa. Super. Ct. 1981) (“The general propositions of law upon which we base our opinion in this matter are that costs must not be assessed except as authorized by law”). </w:t>
      </w:r>
    </w:p>
  </w:footnote>
  <w:footnote w:id="24">
    <w:p w14:paraId="1BE4AAAA" w14:textId="5987EF66" w:rsidR="00374E96" w:rsidRPr="00ED0A46" w:rsidRDefault="00374E96">
      <w:pPr>
        <w:pStyle w:val="FootnoteText"/>
      </w:pPr>
      <w:r>
        <w:rPr>
          <w:rStyle w:val="FootnoteReference"/>
        </w:rPr>
        <w:footnoteRef/>
      </w:r>
      <w:r>
        <w:t xml:space="preserve"> </w:t>
      </w:r>
      <w:r>
        <w:rPr>
          <w:i/>
        </w:rPr>
        <w:t>See</w:t>
      </w:r>
      <w:r>
        <w:t xml:space="preserve">, </w:t>
      </w:r>
      <w:r>
        <w:rPr>
          <w:i/>
        </w:rPr>
        <w:t>e.g.</w:t>
      </w:r>
      <w:r>
        <w:t xml:space="preserve">, </w:t>
      </w:r>
      <w:r>
        <w:rPr>
          <w:i/>
        </w:rPr>
        <w:t>Commonwealth v. Garzone</w:t>
      </w:r>
      <w:r>
        <w:t xml:space="preserve">, 34 A.3d 67, 80 (Pa. 2012) (order to pay the prosecutors’ salaries not a proper cost); </w:t>
      </w:r>
      <w:r>
        <w:rPr>
          <w:i/>
        </w:rPr>
        <w:t>Rivera</w:t>
      </w:r>
      <w:r>
        <w:t xml:space="preserve">, 95 A.3d </w:t>
      </w:r>
      <w:r w:rsidR="00B27C76">
        <w:t xml:space="preserve">at </w:t>
      </w:r>
      <w:r>
        <w:t xml:space="preserve">916 (Pa. Super. Ct. 2014) (repaying public defender not a proper cost); </w:t>
      </w:r>
      <w:r>
        <w:rPr>
          <w:i/>
        </w:rPr>
        <w:t>Gill</w:t>
      </w:r>
      <w:r>
        <w:t xml:space="preserve">, 432 A.2d at 1009 (various Allegheny costs, including $60 flat fee for certain hearings, a witness fee, costs on withdrawn/dismissed charges, a fee for processing payments to witnesses, and a fee for service of process were illegal). </w:t>
      </w:r>
    </w:p>
  </w:footnote>
  <w:footnote w:id="25">
    <w:p w14:paraId="3005B9FD" w14:textId="3AD4A780" w:rsidR="009D726C" w:rsidRPr="0075679F" w:rsidRDefault="009D726C">
      <w:pPr>
        <w:pStyle w:val="FootnoteText"/>
        <w:rPr>
          <w:i/>
        </w:rPr>
      </w:pPr>
      <w:r>
        <w:rPr>
          <w:rStyle w:val="FootnoteReference"/>
        </w:rPr>
        <w:footnoteRef/>
      </w:r>
      <w:r>
        <w:t xml:space="preserve"> </w:t>
      </w:r>
      <w:r w:rsidRPr="00D41AD3">
        <w:rPr>
          <w:i/>
        </w:rPr>
        <w:t>Commonwealth v. Garzone</w:t>
      </w:r>
      <w:r w:rsidRPr="00D41AD3">
        <w:t>, 34 A.3d 67, 75 (Pa. 2012)</w:t>
      </w:r>
      <w:r w:rsidR="0075679F">
        <w:t xml:space="preserve">; </w:t>
      </w:r>
      <w:r w:rsidR="0075679F" w:rsidRPr="00180981">
        <w:rPr>
          <w:i/>
        </w:rPr>
        <w:t>Commonwealth v. Gaddis</w:t>
      </w:r>
      <w:r w:rsidR="0075679F" w:rsidRPr="00180981">
        <w:t>, 639 A.2d 462, 472 (Pa. Super. Ct. 1994)</w:t>
      </w:r>
      <w:r w:rsidR="0075679F">
        <w:t>.</w:t>
      </w:r>
    </w:p>
  </w:footnote>
  <w:footnote w:id="26">
    <w:p w14:paraId="2E7404F7" w14:textId="77777777" w:rsidR="00743699" w:rsidRDefault="00743699">
      <w:pPr>
        <w:pStyle w:val="FootnoteText"/>
      </w:pPr>
      <w:r>
        <w:rPr>
          <w:rStyle w:val="FootnoteReference"/>
        </w:rPr>
        <w:footnoteRef/>
      </w:r>
      <w:r>
        <w:t xml:space="preserve"> </w:t>
      </w:r>
      <w:r>
        <w:rPr>
          <w:i/>
        </w:rPr>
        <w:t>Richardson v. Pennsylvania Dep’t of Corrections</w:t>
      </w:r>
      <w:r>
        <w:t>, 991 A.2d 394, 397 (Pa. Commw. Ct. 2010).</w:t>
      </w:r>
    </w:p>
  </w:footnote>
  <w:footnote w:id="27">
    <w:p w14:paraId="33EF3CF7" w14:textId="77777777" w:rsidR="003B6ECF" w:rsidRDefault="003B6ECF">
      <w:pPr>
        <w:pStyle w:val="FootnoteText"/>
      </w:pPr>
      <w:r>
        <w:rPr>
          <w:rStyle w:val="FootnoteReference"/>
        </w:rPr>
        <w:footnoteRef/>
      </w:r>
      <w:r>
        <w:t xml:space="preserve"> </w:t>
      </w:r>
      <w:r>
        <w:rPr>
          <w:i/>
        </w:rPr>
        <w:t>Commonwealth v. Cutillo</w:t>
      </w:r>
      <w:r>
        <w:t xml:space="preserve">, 440 A.2d 607, 609 (Pa. Super. Ct. 1982); </w:t>
      </w:r>
      <w:r>
        <w:rPr>
          <w:i/>
        </w:rPr>
        <w:t>Commonwealth v. Mazer</w:t>
      </w:r>
      <w:r>
        <w:t>, 24 A.3d 481, 484 (Pa. Commw. Ct. 2011).</w:t>
      </w:r>
    </w:p>
  </w:footnote>
  <w:footnote w:id="28">
    <w:p w14:paraId="1A9DD41C" w14:textId="74B47BB2" w:rsidR="00D41AD3" w:rsidRPr="00D41AD3" w:rsidRDefault="00D41AD3">
      <w:pPr>
        <w:pStyle w:val="FootnoteText"/>
      </w:pPr>
      <w:r>
        <w:rPr>
          <w:rStyle w:val="FootnoteReference"/>
        </w:rPr>
        <w:footnoteRef/>
      </w:r>
      <w:r>
        <w:t xml:space="preserve"> </w:t>
      </w:r>
      <w:r>
        <w:rPr>
          <w:i/>
        </w:rPr>
        <w:t>Commonwealth v. Garzone</w:t>
      </w:r>
      <w:r>
        <w:t xml:space="preserve">, 993 A.2d 1245, 1258-59 (Pa. Super. Ct. 2010), affirmed </w:t>
      </w:r>
      <w:r w:rsidRPr="00D41AD3">
        <w:t>34 A.3d 67</w:t>
      </w:r>
      <w:r>
        <w:t>.</w:t>
      </w:r>
    </w:p>
  </w:footnote>
  <w:footnote w:id="29">
    <w:p w14:paraId="5C9670A0" w14:textId="1E3CBA9B" w:rsidR="00D41AD3" w:rsidRDefault="00D41AD3">
      <w:pPr>
        <w:pStyle w:val="FootnoteText"/>
      </w:pPr>
      <w:r>
        <w:rPr>
          <w:rStyle w:val="FootnoteReference"/>
        </w:rPr>
        <w:footnoteRef/>
      </w:r>
      <w:r w:rsidRPr="00D41AD3">
        <w:rPr>
          <w:i/>
        </w:rPr>
        <w:t>. Garzone</w:t>
      </w:r>
      <w:r w:rsidRPr="00D41AD3">
        <w:t xml:space="preserve">, 34 A.3d </w:t>
      </w:r>
      <w:r w:rsidR="009D726C">
        <w:t>at 75</w:t>
      </w:r>
      <w:r>
        <w:t>.</w:t>
      </w:r>
    </w:p>
  </w:footnote>
  <w:footnote w:id="30">
    <w:p w14:paraId="48EA3187" w14:textId="5A9E6231" w:rsidR="00193503" w:rsidRPr="00193503" w:rsidRDefault="00193503">
      <w:pPr>
        <w:pStyle w:val="FootnoteText"/>
      </w:pPr>
      <w:r>
        <w:rPr>
          <w:rStyle w:val="FootnoteReference"/>
        </w:rPr>
        <w:footnoteRef/>
      </w:r>
      <w:r>
        <w:t xml:space="preserve"> </w:t>
      </w:r>
      <w:r>
        <w:rPr>
          <w:i/>
        </w:rPr>
        <w:t>Cutillo</w:t>
      </w:r>
      <w:r>
        <w:t xml:space="preserve">, 440 A.2d </w:t>
      </w:r>
      <w:r w:rsidR="002662D9">
        <w:t>at</w:t>
      </w:r>
      <w:r>
        <w:t xml:space="preserve"> 609 (authorizing costs associated with guarding a defendant in a hospital). </w:t>
      </w:r>
    </w:p>
  </w:footnote>
  <w:footnote w:id="31">
    <w:p w14:paraId="5480EC99" w14:textId="35080DBA" w:rsidR="004C664B" w:rsidRPr="004C664B" w:rsidRDefault="004C664B">
      <w:pPr>
        <w:pStyle w:val="FootnoteText"/>
      </w:pPr>
      <w:r>
        <w:rPr>
          <w:rStyle w:val="FootnoteReference"/>
        </w:rPr>
        <w:footnoteRef/>
      </w:r>
      <w:r>
        <w:t xml:space="preserve"> </w:t>
      </w:r>
      <w:r>
        <w:rPr>
          <w:i/>
        </w:rPr>
        <w:t>Commonwealth v. Moran</w:t>
      </w:r>
      <w:r>
        <w:t>, 675 A.2d 1269, 1272-73 (Pa. Super. Ct. 1996).</w:t>
      </w:r>
    </w:p>
  </w:footnote>
  <w:footnote w:id="32">
    <w:p w14:paraId="497509F7" w14:textId="375C3CB3" w:rsidR="00180981" w:rsidRPr="0049615B" w:rsidRDefault="00180981">
      <w:pPr>
        <w:pStyle w:val="FootnoteText"/>
      </w:pPr>
      <w:r>
        <w:rPr>
          <w:rStyle w:val="FootnoteReference"/>
        </w:rPr>
        <w:footnoteRef/>
      </w:r>
      <w:r>
        <w:t xml:space="preserve"> </w:t>
      </w:r>
      <w:r w:rsidRPr="00180981">
        <w:rPr>
          <w:i/>
        </w:rPr>
        <w:t>Gaddis</w:t>
      </w:r>
      <w:r w:rsidRPr="00180981">
        <w:t xml:space="preserve">, 639 A.2d </w:t>
      </w:r>
      <w:r w:rsidR="0075679F">
        <w:t>at</w:t>
      </w:r>
      <w:r w:rsidRPr="00180981">
        <w:t xml:space="preserve"> 472 (explaining that “the separate reference to ‘costs’ in subsection (g) provides for the collection of costs associated with obtaining a money judgment against the defendant, and does not provide for the imposition of the costs of prosecution itself”)</w:t>
      </w:r>
      <w:r>
        <w:t xml:space="preserve">. The Superior Court later held that amendments to § 9728 effectively overruled </w:t>
      </w:r>
      <w:r>
        <w:rPr>
          <w:i/>
        </w:rPr>
        <w:t xml:space="preserve">Gaddis </w:t>
      </w:r>
      <w:r>
        <w:t xml:space="preserve">as of 2006. </w:t>
      </w:r>
      <w:r>
        <w:rPr>
          <w:i/>
        </w:rPr>
        <w:t xml:space="preserve">See </w:t>
      </w:r>
      <w:r w:rsidR="00E90DAA">
        <w:rPr>
          <w:i/>
        </w:rPr>
        <w:t>Commonwealth v. Allshouse</w:t>
      </w:r>
      <w:r w:rsidR="00E90DAA">
        <w:t xml:space="preserve">, 924 A.2d 1215, 1230 (Pa. Super. Ct. 2007), </w:t>
      </w:r>
      <w:r w:rsidR="00E90DAA">
        <w:rPr>
          <w:i/>
        </w:rPr>
        <w:t>vacated on other grounds</w:t>
      </w:r>
      <w:r w:rsidR="00E90DAA">
        <w:t>, 562 U.S. 1267 (2011)</w:t>
      </w:r>
      <w:r>
        <w:t>. That appears to be wrong, and the opinion does not offer any analysis of the rather plain language in § 9278, which is titled “</w:t>
      </w:r>
      <w:r w:rsidRPr="00E30324">
        <w:rPr>
          <w:i/>
        </w:rPr>
        <w:t>Collection of</w:t>
      </w:r>
      <w:r w:rsidRPr="00180981">
        <w:t xml:space="preserve"> restitution, reparation, fees, costs, fines and penalties</w:t>
      </w:r>
      <w:r>
        <w:t>”</w:t>
      </w:r>
      <w:r w:rsidR="00E30324">
        <w:t xml:space="preserve"> (emphasis added). As a result, § 9728(g) seems to only authorize costs associated with collecting funds, such as costs associated with probation violation hearings for nonpayment or contempt hearings for nonpayment.</w:t>
      </w:r>
      <w:r>
        <w:t xml:space="preserve"> Moreover, </w:t>
      </w:r>
      <w:r>
        <w:rPr>
          <w:i/>
        </w:rPr>
        <w:t>Allshouse</w:t>
      </w:r>
      <w:r>
        <w:t xml:space="preserve"> itself was later reversed on other grounds by the United States Supreme Court. </w:t>
      </w:r>
      <w:r w:rsidR="0049615B">
        <w:rPr>
          <w:i/>
        </w:rPr>
        <w:t>Gaddis</w:t>
      </w:r>
      <w:r w:rsidR="0049615B">
        <w:t xml:space="preserve"> is the correct interpretation of the law and</w:t>
      </w:r>
      <w:r w:rsidR="0085492E">
        <w:t xml:space="preserve">, </w:t>
      </w:r>
      <w:r w:rsidR="0085492E">
        <w:rPr>
          <w:i/>
        </w:rPr>
        <w:t>Allshouse</w:t>
      </w:r>
      <w:r w:rsidR="0085492E">
        <w:t xml:space="preserve"> not withstanding,</w:t>
      </w:r>
      <w:r w:rsidR="0049615B">
        <w:t xml:space="preserve"> remains in effect. </w:t>
      </w:r>
    </w:p>
  </w:footnote>
  <w:footnote w:id="33">
    <w:p w14:paraId="7C02A346" w14:textId="4A22B947" w:rsidR="00EA1472" w:rsidRPr="00EA1472" w:rsidRDefault="00EA1472">
      <w:pPr>
        <w:pStyle w:val="FootnoteText"/>
        <w:rPr>
          <w:i/>
        </w:rPr>
      </w:pPr>
      <w:r>
        <w:rPr>
          <w:rStyle w:val="FootnoteReference"/>
        </w:rPr>
        <w:footnoteRef/>
      </w:r>
      <w:r>
        <w:t xml:space="preserve"> </w:t>
      </w:r>
      <w:r>
        <w:rPr>
          <w:i/>
        </w:rPr>
        <w:t>Coder</w:t>
      </w:r>
      <w:r>
        <w:t xml:space="preserve">, 415 A.2d </w:t>
      </w:r>
      <w:r w:rsidR="0083308E">
        <w:t>at</w:t>
      </w:r>
      <w:r>
        <w:t xml:space="preserve"> 410; </w:t>
      </w:r>
      <w:r>
        <w:rPr>
          <w:i/>
        </w:rPr>
        <w:t>Gill</w:t>
      </w:r>
      <w:r>
        <w:t xml:space="preserve">, 432 A.2d </w:t>
      </w:r>
      <w:r w:rsidR="00523B04">
        <w:t>at</w:t>
      </w:r>
      <w:r>
        <w:t xml:space="preserve"> 1003 (defendant can appeal a denial of his objections). </w:t>
      </w:r>
    </w:p>
  </w:footnote>
  <w:footnote w:id="34">
    <w:p w14:paraId="56F20979" w14:textId="46B04038" w:rsidR="00E90DAA" w:rsidRPr="004874F8" w:rsidRDefault="00E90DAA" w:rsidP="00E90DAA">
      <w:pPr>
        <w:pStyle w:val="FootnoteText"/>
      </w:pPr>
      <w:r>
        <w:rPr>
          <w:rStyle w:val="FootnoteReference"/>
        </w:rPr>
        <w:footnoteRef/>
      </w:r>
      <w:r>
        <w:t xml:space="preserve"> </w:t>
      </w:r>
      <w:r>
        <w:rPr>
          <w:i/>
        </w:rPr>
        <w:t>Commonwealth v. Lehman</w:t>
      </w:r>
      <w:r>
        <w:t>, 201 A.3d 1279, 1283 (Pa. Super. Ct. 2019) (“</w:t>
      </w:r>
      <w:r w:rsidRPr="004874F8">
        <w:t>Because Appellant challenges the trial court's authority to impose costs as part of its resentencing order, we conclude that the Appellant's claim implicates the legality of his sentence</w:t>
      </w:r>
      <w:r>
        <w:t>.”).</w:t>
      </w:r>
      <w:r>
        <w:rPr>
          <w:i/>
        </w:rPr>
        <w:t xml:space="preserve"> See also Allshouse</w:t>
      </w:r>
      <w:r>
        <w:t xml:space="preserve">, 924 A.2d at 1229 n.28. Thus, a challenge to the imposition of court costs is subject to the same framework as fines: if the court imposes costs illegally, or without considering ability to pay at all, it is a challenge to the legality of the sentence; but a challenge to the specific dollar amount, where the court has considered ability to pay, is a challenge to the discretionary aspects of the sentence. </w:t>
      </w:r>
      <w:r>
        <w:rPr>
          <w:i/>
        </w:rPr>
        <w:t>See Boyd</w:t>
      </w:r>
      <w:r>
        <w:t>, 73 A.3d at 1272.</w:t>
      </w:r>
    </w:p>
  </w:footnote>
  <w:footnote w:id="35">
    <w:p w14:paraId="1D15414A" w14:textId="4F363DDC" w:rsidR="00FA77DB" w:rsidRPr="00FA77DB" w:rsidRDefault="00FA77DB">
      <w:pPr>
        <w:pStyle w:val="FootnoteText"/>
      </w:pPr>
      <w:r>
        <w:rPr>
          <w:rStyle w:val="FootnoteReference"/>
        </w:rPr>
        <w:footnoteRef/>
      </w:r>
      <w:r>
        <w:t xml:space="preserve"> </w:t>
      </w:r>
      <w:r>
        <w:rPr>
          <w:i/>
        </w:rPr>
        <w:t>Allshouse</w:t>
      </w:r>
      <w:r>
        <w:t xml:space="preserve">, 924 A.2d at 1230 (explaining that statutes imposing court costs “attach[] </w:t>
      </w:r>
      <w:r w:rsidRPr="00FA77DB">
        <w:t>greater punishment to all crimes governed by the provision by allowing a cou</w:t>
      </w:r>
      <w:r>
        <w:t>rt to expand the definition of ‘</w:t>
      </w:r>
      <w:r w:rsidRPr="00FA77DB">
        <w:t>costs</w:t>
      </w:r>
      <w:r>
        <w:t>’</w:t>
      </w:r>
      <w:r w:rsidR="002662D9">
        <w:t xml:space="preserve"> that can be imposed</w:t>
      </w:r>
      <w:r>
        <w:t>”</w:t>
      </w:r>
      <w:r w:rsidR="002662D9">
        <w:t>).</w:t>
      </w:r>
      <w:r>
        <w:t xml:space="preserve"> </w:t>
      </w:r>
    </w:p>
  </w:footnote>
  <w:footnote w:id="36">
    <w:p w14:paraId="0C3EA294" w14:textId="77777777" w:rsidR="00E80C07" w:rsidRPr="00E80C07" w:rsidRDefault="00E80C07">
      <w:pPr>
        <w:pStyle w:val="FootnoteText"/>
      </w:pPr>
      <w:r>
        <w:rPr>
          <w:rStyle w:val="FootnoteReference"/>
        </w:rPr>
        <w:footnoteRef/>
      </w:r>
      <w:r>
        <w:t xml:space="preserve"> </w:t>
      </w:r>
      <w:r>
        <w:rPr>
          <w:i/>
        </w:rPr>
        <w:t>Rivera</w:t>
      </w:r>
      <w:r>
        <w:t>, 95 A.3d at 916.</w:t>
      </w:r>
    </w:p>
  </w:footnote>
  <w:footnote w:id="37">
    <w:p w14:paraId="59EFBBD7" w14:textId="77777777" w:rsidR="00E80C07" w:rsidRPr="00E80C07" w:rsidRDefault="00E80C07">
      <w:pPr>
        <w:pStyle w:val="FootnoteText"/>
      </w:pPr>
      <w:r>
        <w:rPr>
          <w:rStyle w:val="FootnoteReference"/>
        </w:rPr>
        <w:footnoteRef/>
      </w:r>
      <w:r>
        <w:t xml:space="preserve"> </w:t>
      </w:r>
      <w:r>
        <w:rPr>
          <w:i/>
        </w:rPr>
        <w:t>Id</w:t>
      </w:r>
      <w:r>
        <w:t>.</w:t>
      </w:r>
    </w:p>
  </w:footnote>
  <w:footnote w:id="38">
    <w:p w14:paraId="5D060A29" w14:textId="521B9110" w:rsidR="008B1B68" w:rsidRDefault="008B1B68">
      <w:pPr>
        <w:pStyle w:val="FootnoteText"/>
      </w:pPr>
      <w:r>
        <w:rPr>
          <w:rStyle w:val="FootnoteReference"/>
        </w:rPr>
        <w:footnoteRef/>
      </w:r>
      <w:r w:rsidR="00D84DC6">
        <w:t xml:space="preserve"> 18 Pa.C.S. </w:t>
      </w:r>
      <w:r>
        <w:t>§ 1106(c)(1)(i).</w:t>
      </w:r>
    </w:p>
  </w:footnote>
  <w:footnote w:id="39">
    <w:p w14:paraId="4BC0A5AE" w14:textId="737A12AB" w:rsidR="008B1B68" w:rsidRPr="00B509D3" w:rsidRDefault="008B1B68">
      <w:pPr>
        <w:pStyle w:val="FootnoteText"/>
      </w:pPr>
      <w:r>
        <w:rPr>
          <w:rStyle w:val="FootnoteReference"/>
        </w:rPr>
        <w:footnoteRef/>
      </w:r>
      <w:r>
        <w:t xml:space="preserve"> 42 Pa</w:t>
      </w:r>
      <w:r w:rsidR="00D84DC6">
        <w:t>.C.S.</w:t>
      </w:r>
      <w:r>
        <w:t xml:space="preserve"> § </w:t>
      </w:r>
      <w:r w:rsidR="003C74E1">
        <w:t>9763</w:t>
      </w:r>
      <w:r>
        <w:t>(c)(</w:t>
      </w:r>
      <w:r w:rsidR="003C74E1">
        <w:t>10</w:t>
      </w:r>
      <w:r>
        <w:t>)</w:t>
      </w:r>
      <w:r w:rsidR="003C74E1">
        <w:t xml:space="preserve"> (formerly § 9754)</w:t>
      </w:r>
      <w:r>
        <w:t>.</w:t>
      </w:r>
      <w:r w:rsidR="00C1459A">
        <w:t xml:space="preserve"> </w:t>
      </w:r>
      <w:r w:rsidR="00C1459A">
        <w:rPr>
          <w:i/>
        </w:rPr>
        <w:t xml:space="preserve">See </w:t>
      </w:r>
      <w:r w:rsidR="00C1459A" w:rsidRPr="00E7415B">
        <w:rPr>
          <w:i/>
        </w:rPr>
        <w:t>Commonwealth v. Melnyk</w:t>
      </w:r>
      <w:r w:rsidR="00C1459A" w:rsidRPr="00E7415B">
        <w:t xml:space="preserve">, 548 A.2d 266, </w:t>
      </w:r>
      <w:r w:rsidR="00C1459A">
        <w:t>268</w:t>
      </w:r>
      <w:r w:rsidR="00C1459A" w:rsidRPr="00E7415B">
        <w:t xml:space="preserve"> (Pa. Super. Ct. 1988)</w:t>
      </w:r>
      <w:r w:rsidR="00C1459A">
        <w:t xml:space="preserve"> (“</w:t>
      </w:r>
      <w:r w:rsidR="00C1459A" w:rsidRPr="00C1459A">
        <w:t>However, the co</w:t>
      </w:r>
      <w:r w:rsidR="00C1459A">
        <w:t>urt may only order restitution ‘</w:t>
      </w:r>
      <w:r w:rsidR="00C1459A" w:rsidRPr="00C1459A">
        <w:t>in an amount [defendant] can afford to pay</w:t>
      </w:r>
      <w:r w:rsidR="00C1459A">
        <w:t>’</w:t>
      </w:r>
      <w:r w:rsidR="00C1459A" w:rsidRPr="00C1459A">
        <w:t>. Id. § 9754(c). It is incumbent upon the c</w:t>
      </w:r>
      <w:r w:rsidR="00C1459A">
        <w:t>ourt to determine the defendant’</w:t>
      </w:r>
      <w:r w:rsidR="00C1459A" w:rsidRPr="00C1459A">
        <w:t>s ability to make restitution and to order restitution which serves the dual purpose of achieving rehabilitation of the defendant as well as providing the complainant with some measure of redress.</w:t>
      </w:r>
      <w:r w:rsidR="00C1459A">
        <w:t xml:space="preserve">”); </w:t>
      </w:r>
      <w:r w:rsidR="00C1459A" w:rsidRPr="00516784">
        <w:rPr>
          <w:rFonts w:cs="Times New Roman"/>
          <w:i/>
        </w:rPr>
        <w:t>Commonwealth v. Holmes</w:t>
      </w:r>
      <w:r w:rsidR="00C1459A" w:rsidRPr="00516784">
        <w:rPr>
          <w:rFonts w:cs="Times New Roman"/>
        </w:rPr>
        <w:t xml:space="preserve">, 155 A.3d 69, 86 (Pa. Super. Ct. 2017) (en banc) (opinion of four judges) </w:t>
      </w:r>
      <w:r w:rsidR="00C1459A">
        <w:t>(The</w:t>
      </w:r>
      <w:r w:rsidR="00C1459A" w:rsidRPr="00C1459A">
        <w:t xml:space="preserve"> </w:t>
      </w:r>
      <w:r w:rsidR="00C1459A">
        <w:t>“</w:t>
      </w:r>
      <w:r w:rsidR="00C1459A" w:rsidRPr="00C1459A">
        <w:t>trial court erred in ordering restitution as a condition of probation under Section 9754 without first determining Appellant's ability to pay the restitution.</w:t>
      </w:r>
      <w:r w:rsidR="00C1459A">
        <w:t>”)</w:t>
      </w:r>
      <w:r w:rsidR="00B509D3">
        <w:t xml:space="preserve">; </w:t>
      </w:r>
      <w:r w:rsidR="00B509D3">
        <w:rPr>
          <w:i/>
        </w:rPr>
        <w:t>Commonwealth v. Whatley</w:t>
      </w:r>
      <w:r w:rsidR="00B509D3">
        <w:t>, 2019 PA Super 317 (Pa. Super. Ct. 2019) (“</w:t>
      </w:r>
      <w:r w:rsidR="00B509D3" w:rsidRPr="00B509D3">
        <w:t>Pennsylvania courts have consistently held that a determination of a defendant's ability to pay is an integral requirement of imposing restitution as a condition of probation.</w:t>
      </w:r>
      <w:r w:rsidR="00B509D3">
        <w:t xml:space="preserve">”). </w:t>
      </w:r>
    </w:p>
  </w:footnote>
  <w:footnote w:id="40">
    <w:p w14:paraId="38A0D56F" w14:textId="12736429" w:rsidR="00573376" w:rsidRPr="00C1459A" w:rsidRDefault="00573376" w:rsidP="00573376">
      <w:pPr>
        <w:pStyle w:val="FootnoteText"/>
        <w:rPr>
          <w:rFonts w:cs="Times New Roman"/>
          <w:i/>
        </w:rPr>
      </w:pPr>
      <w:r w:rsidRPr="00516784">
        <w:rPr>
          <w:rStyle w:val="FootnoteReference"/>
          <w:rFonts w:cs="Times New Roman"/>
        </w:rPr>
        <w:footnoteRef/>
      </w:r>
      <w:r w:rsidRPr="00516784">
        <w:rPr>
          <w:rFonts w:cs="Times New Roman"/>
        </w:rPr>
        <w:t xml:space="preserve"> </w:t>
      </w:r>
      <w:r w:rsidRPr="00516784">
        <w:rPr>
          <w:rFonts w:cs="Times New Roman"/>
          <w:i/>
        </w:rPr>
        <w:t>Commonwealth v. Karth</w:t>
      </w:r>
      <w:r w:rsidRPr="00516784">
        <w:rPr>
          <w:rFonts w:cs="Times New Roman"/>
        </w:rPr>
        <w:t xml:space="preserve">, 994 A.2d 606, 610 (Pa. Super. Ct. 2010); </w:t>
      </w:r>
      <w:r w:rsidRPr="00516784">
        <w:rPr>
          <w:rFonts w:cs="Times New Roman"/>
          <w:i/>
        </w:rPr>
        <w:t>Holmes</w:t>
      </w:r>
      <w:r w:rsidRPr="00516784">
        <w:rPr>
          <w:rFonts w:cs="Times New Roman"/>
        </w:rPr>
        <w:t xml:space="preserve">, 155 A.3d </w:t>
      </w:r>
      <w:r w:rsidR="00C1459A">
        <w:rPr>
          <w:rFonts w:cs="Times New Roman"/>
        </w:rPr>
        <w:t xml:space="preserve">at 86-87. </w:t>
      </w:r>
    </w:p>
  </w:footnote>
  <w:footnote w:id="41">
    <w:p w14:paraId="0D28D945" w14:textId="72CBA706" w:rsidR="00573376" w:rsidRPr="002F111A" w:rsidRDefault="00573376" w:rsidP="00573376">
      <w:pPr>
        <w:pStyle w:val="FootnoteText"/>
        <w:rPr>
          <w:rFonts w:cs="Times New Roman"/>
        </w:rPr>
      </w:pPr>
      <w:r w:rsidRPr="00516784">
        <w:rPr>
          <w:rStyle w:val="FootnoteReference"/>
          <w:rFonts w:cs="Times New Roman"/>
        </w:rPr>
        <w:footnoteRef/>
      </w:r>
      <w:r w:rsidR="00F25680">
        <w:rPr>
          <w:rFonts w:cs="Times New Roman"/>
        </w:rPr>
        <w:t xml:space="preserve"> </w:t>
      </w:r>
      <w:r w:rsidR="00F25680">
        <w:rPr>
          <w:rFonts w:cs="Times New Roman"/>
          <w:i/>
        </w:rPr>
        <w:t>Commonwealth v. Griffiths</w:t>
      </w:r>
      <w:r w:rsidR="00F25680">
        <w:rPr>
          <w:rFonts w:cs="Times New Roman"/>
        </w:rPr>
        <w:t>, 15 A.3d 73, 78 (Pa. Super. Ct. 2010);</w:t>
      </w:r>
      <w:r w:rsidRPr="00516784">
        <w:rPr>
          <w:rFonts w:cs="Times New Roman"/>
        </w:rPr>
        <w:t xml:space="preserve"> </w:t>
      </w:r>
      <w:r w:rsidRPr="00516784">
        <w:rPr>
          <w:rFonts w:cs="Times New Roman"/>
          <w:i/>
        </w:rPr>
        <w:t>Holmes</w:t>
      </w:r>
      <w:r w:rsidRPr="00516784">
        <w:rPr>
          <w:rFonts w:cs="Times New Roman"/>
        </w:rPr>
        <w:t>, 155 A.3d at 86-87.</w:t>
      </w:r>
      <w:r w:rsidR="00D84DC6">
        <w:rPr>
          <w:rFonts w:cs="Times New Roman"/>
        </w:rPr>
        <w:t xml:space="preserve"> Note that until 1998, 18 Pa.C.S. </w:t>
      </w:r>
      <w:r>
        <w:rPr>
          <w:rFonts w:cs="Times New Roman"/>
        </w:rPr>
        <w:t xml:space="preserve">§ 1106 prohibited a court from collecting restitution past the maximum period of time for which the defendant </w:t>
      </w:r>
      <w:r>
        <w:rPr>
          <w:rFonts w:cs="Times New Roman"/>
          <w:i/>
        </w:rPr>
        <w:t xml:space="preserve">could have </w:t>
      </w:r>
      <w:r>
        <w:rPr>
          <w:rFonts w:cs="Times New Roman"/>
        </w:rPr>
        <w:t xml:space="preserve">been sentenced for the offense (e.g. if a defendant was given a sentence of 5 years in jail but could have received a sentence of 10 years, he could only be forced to pay restitution for 10 years). </w:t>
      </w:r>
      <w:r>
        <w:rPr>
          <w:rFonts w:cs="Times New Roman"/>
          <w:i/>
        </w:rPr>
        <w:t>See Karth</w:t>
      </w:r>
      <w:r>
        <w:rPr>
          <w:rFonts w:cs="Times New Roman"/>
        </w:rPr>
        <w:t>, 994 A.2d at 610. Act 121 of 1998 removed that time limit, so there is no time limit on collecting restitution from defendants who were sentenced after December 3, 1998.</w:t>
      </w:r>
    </w:p>
  </w:footnote>
  <w:footnote w:id="42">
    <w:p w14:paraId="5227BF66" w14:textId="1FD3C6E2" w:rsidR="007D3FBE" w:rsidRPr="007D3FBE" w:rsidRDefault="007D3FBE">
      <w:pPr>
        <w:pStyle w:val="FootnoteText"/>
      </w:pPr>
      <w:r>
        <w:rPr>
          <w:rStyle w:val="FootnoteReference"/>
        </w:rPr>
        <w:footnoteRef/>
      </w:r>
      <w:r>
        <w:t xml:space="preserve"> </w:t>
      </w:r>
      <w:r>
        <w:rPr>
          <w:i/>
        </w:rPr>
        <w:t>Commonwealth v. Lock</w:t>
      </w:r>
      <w:r>
        <w:t xml:space="preserve">, --A.3d --, 2020 Pa Super 135 (Pa. Super. Ct. 2020). </w:t>
      </w:r>
    </w:p>
  </w:footnote>
  <w:footnote w:id="43">
    <w:p w14:paraId="1FB5C05B" w14:textId="24E27272" w:rsidR="00755303" w:rsidRPr="00755303" w:rsidRDefault="00755303">
      <w:pPr>
        <w:pStyle w:val="FootnoteText"/>
      </w:pPr>
      <w:r>
        <w:rPr>
          <w:rStyle w:val="FootnoteReference"/>
        </w:rPr>
        <w:footnoteRef/>
      </w:r>
      <w:r>
        <w:t xml:space="preserve"> </w:t>
      </w:r>
      <w:r>
        <w:rPr>
          <w:i/>
        </w:rPr>
        <w:t>Commonwealth v. Muhammed</w:t>
      </w:r>
      <w:r>
        <w:t xml:space="preserve">, 2019 PA Super 294 (Pa. Super. Ct. 2019) (defendant who was convicted only of criminal trespass could not be compelled to pay restitution associated with charges of theft on which he was not convicted). </w:t>
      </w:r>
    </w:p>
  </w:footnote>
  <w:footnote w:id="44">
    <w:p w14:paraId="16E9281D" w14:textId="08CE7C3B" w:rsidR="003B3C75" w:rsidRDefault="003B3C75">
      <w:pPr>
        <w:pStyle w:val="FootnoteText"/>
      </w:pPr>
      <w:r>
        <w:rPr>
          <w:rStyle w:val="FootnoteReference"/>
        </w:rPr>
        <w:footnoteRef/>
      </w:r>
      <w:r>
        <w:t xml:space="preserve"> </w:t>
      </w:r>
      <w:r w:rsidRPr="003B3C75">
        <w:rPr>
          <w:i/>
        </w:rPr>
        <w:t>Commonwealth v. Harner</w:t>
      </w:r>
      <w:r>
        <w:t>, 617 A.2d 702, 704 (Pa. 1992)</w:t>
      </w:r>
      <w:r w:rsidRPr="003B3C75">
        <w:t>;</w:t>
      </w:r>
      <w:r>
        <w:rPr>
          <w:i/>
        </w:rPr>
        <w:t xml:space="preserve"> </w:t>
      </w:r>
      <w:r w:rsidRPr="003B3C75">
        <w:rPr>
          <w:i/>
        </w:rPr>
        <w:t>Commonwealth v. Barger</w:t>
      </w:r>
      <w:r w:rsidRPr="003B3C75">
        <w:t>, 956 A.2d 458, 464 (P</w:t>
      </w:r>
      <w:r w:rsidR="005A7148">
        <w:t>a. Super. Ct. 2008) (en banc) (“</w:t>
      </w:r>
      <w:r w:rsidRPr="003B3C75">
        <w:t xml:space="preserve">The Supreme Court has instructed that a sentence of restitution must be </w:t>
      </w:r>
      <w:r w:rsidR="005A7148">
        <w:t>based upon statutory authority.”</w:t>
      </w:r>
      <w:r w:rsidRPr="003B3C75">
        <w:t>).</w:t>
      </w:r>
    </w:p>
  </w:footnote>
  <w:footnote w:id="45">
    <w:p w14:paraId="17669B8C" w14:textId="77777777" w:rsidR="00B47EAA" w:rsidRPr="00A455C2" w:rsidRDefault="00B47EAA" w:rsidP="00B47EAA">
      <w:pPr>
        <w:pStyle w:val="FootnoteText"/>
      </w:pPr>
      <w:r>
        <w:rPr>
          <w:rStyle w:val="FootnoteReference"/>
        </w:rPr>
        <w:footnoteRef/>
      </w:r>
      <w:r>
        <w:t xml:space="preserve"> </w:t>
      </w:r>
      <w:r>
        <w:rPr>
          <w:i/>
        </w:rPr>
        <w:t>Barger</w:t>
      </w:r>
      <w:r>
        <w:t xml:space="preserve">, 956 A.2d at 465.  </w:t>
      </w:r>
    </w:p>
  </w:footnote>
  <w:footnote w:id="46">
    <w:p w14:paraId="615C13B5" w14:textId="77777777" w:rsidR="000266DE" w:rsidRDefault="000266DE" w:rsidP="000266DE">
      <w:pPr>
        <w:pStyle w:val="FootnoteText"/>
      </w:pPr>
      <w:r>
        <w:rPr>
          <w:rStyle w:val="FootnoteReference"/>
        </w:rPr>
        <w:footnoteRef/>
      </w:r>
      <w:r>
        <w:t xml:space="preserve"> 18 Pa.C.S. § 1106(a).</w:t>
      </w:r>
    </w:p>
  </w:footnote>
  <w:footnote w:id="47">
    <w:p w14:paraId="065C1AA3" w14:textId="79FCFBC8" w:rsidR="00A455C2" w:rsidRDefault="00A455C2">
      <w:pPr>
        <w:pStyle w:val="FootnoteText"/>
      </w:pPr>
      <w:r>
        <w:rPr>
          <w:rStyle w:val="FootnoteReference"/>
        </w:rPr>
        <w:footnoteRef/>
      </w:r>
      <w:r>
        <w:t xml:space="preserve"> 18 Pa.C.S. § 1106(a).</w:t>
      </w:r>
    </w:p>
  </w:footnote>
  <w:footnote w:id="48">
    <w:p w14:paraId="1593C1CF" w14:textId="794693F7" w:rsidR="003E5D17" w:rsidRPr="003E5D17" w:rsidRDefault="003E5D17">
      <w:pPr>
        <w:pStyle w:val="FootnoteText"/>
      </w:pPr>
      <w:r>
        <w:rPr>
          <w:rStyle w:val="FootnoteReference"/>
        </w:rPr>
        <w:footnoteRef/>
      </w:r>
      <w:r>
        <w:t xml:space="preserve"> Note, however, that this sentence does not apply to restitution where there is a specific statutory requirement of restitution separate from § 1106. For example, the welfare fraud statute 62 P.S. § 481(c) provides an independent source of authority for restitution in those types of cases. </w:t>
      </w:r>
      <w:r>
        <w:rPr>
          <w:i/>
        </w:rPr>
        <w:t xml:space="preserve">Veon </w:t>
      </w:r>
      <w:r>
        <w:t xml:space="preserve">and </w:t>
      </w:r>
      <w:r>
        <w:rPr>
          <w:i/>
        </w:rPr>
        <w:t>Hunt</w:t>
      </w:r>
      <w:r>
        <w:t xml:space="preserve">, which interpret § 1106, thus have no impact on welfare fraud restitution. </w:t>
      </w:r>
    </w:p>
  </w:footnote>
  <w:footnote w:id="49">
    <w:p w14:paraId="02C479BB" w14:textId="4582A00D" w:rsidR="000F755F" w:rsidRPr="00926A40" w:rsidRDefault="000F755F">
      <w:pPr>
        <w:pStyle w:val="FootnoteText"/>
      </w:pPr>
      <w:r>
        <w:rPr>
          <w:rStyle w:val="FootnoteReference"/>
        </w:rPr>
        <w:footnoteRef/>
      </w:r>
      <w:r>
        <w:t xml:space="preserve"> </w:t>
      </w:r>
      <w:r>
        <w:rPr>
          <w:i/>
        </w:rPr>
        <w:t>Commonwealth v. Veon</w:t>
      </w:r>
      <w:r>
        <w:t xml:space="preserve">, 150 A.3d 435, 454 (Pa. 2016) (version of § 1106 in effect at the time required that a victim be a “human being”); </w:t>
      </w:r>
      <w:r>
        <w:rPr>
          <w:i/>
        </w:rPr>
        <w:t>Commonwealth v. Hunt</w:t>
      </w:r>
      <w:r>
        <w:t xml:space="preserve">, 2019 PA Super 296 (Pa. Super. Ct. 2019) (applying </w:t>
      </w:r>
      <w:r>
        <w:rPr>
          <w:i/>
        </w:rPr>
        <w:t>Veon</w:t>
      </w:r>
      <w:r>
        <w:t xml:space="preserve"> to corporations). </w:t>
      </w:r>
      <w:r w:rsidR="00E0205D">
        <w:t>Act 145 of 2018 amended § 1106 so that it applies to the government and corporations moving forward</w:t>
      </w:r>
      <w:r w:rsidR="002567F8">
        <w:t xml:space="preserve">, but </w:t>
      </w:r>
      <w:r w:rsidR="002567F8">
        <w:rPr>
          <w:i/>
        </w:rPr>
        <w:t>Hunt</w:t>
      </w:r>
      <w:r w:rsidR="002567F8">
        <w:t xml:space="preserve"> explains that the amendments do not apply retroactively</w:t>
      </w:r>
      <w:r w:rsidR="00E0205D">
        <w:t xml:space="preserve">. </w:t>
      </w:r>
      <w:r w:rsidR="00926A40">
        <w:t xml:space="preserve">In </w:t>
      </w:r>
      <w:r w:rsidR="00926A40">
        <w:rPr>
          <w:i/>
        </w:rPr>
        <w:t>Hunt</w:t>
      </w:r>
      <w:r w:rsidR="00926A40">
        <w:t>, the Superior Court suggested that courts could still impose pre-2018 restitution in cases with corporate victims if the court imposes it not under § 1106, but instead as a condition of probation under 42 Pa.C.S. § 9754</w:t>
      </w:r>
      <w:r w:rsidR="00802B4C">
        <w:t xml:space="preserve"> (now § 9763)</w:t>
      </w:r>
      <w:r w:rsidR="00926A40">
        <w:t xml:space="preserve">. </w:t>
      </w:r>
      <w:r w:rsidR="00926A40">
        <w:rPr>
          <w:i/>
        </w:rPr>
        <w:t>See Hunt</w:t>
      </w:r>
      <w:r w:rsidR="00926A40">
        <w:t>, 2019 PA Super 296 at n. 9.</w:t>
      </w:r>
    </w:p>
  </w:footnote>
  <w:footnote w:id="50">
    <w:p w14:paraId="17207075" w14:textId="2FF5CBDD" w:rsidR="006E7C79" w:rsidRPr="006E7C79" w:rsidRDefault="006E7C79">
      <w:pPr>
        <w:pStyle w:val="FootnoteText"/>
      </w:pPr>
      <w:r>
        <w:rPr>
          <w:rStyle w:val="FootnoteReference"/>
        </w:rPr>
        <w:footnoteRef/>
      </w:r>
      <w:r>
        <w:t xml:space="preserve"> </w:t>
      </w:r>
      <w:r>
        <w:rPr>
          <w:i/>
        </w:rPr>
        <w:t>Hunt</w:t>
      </w:r>
      <w:r>
        <w:t>, 2019 PA Super 296 at n.5.</w:t>
      </w:r>
    </w:p>
  </w:footnote>
  <w:footnote w:id="51">
    <w:p w14:paraId="3560F482" w14:textId="713A1BD0" w:rsidR="00B47EAA" w:rsidRPr="00B47EAA" w:rsidRDefault="00B47EAA">
      <w:pPr>
        <w:pStyle w:val="FootnoteText"/>
        <w:rPr>
          <w:i/>
        </w:rPr>
      </w:pPr>
      <w:r>
        <w:rPr>
          <w:rStyle w:val="FootnoteReference"/>
        </w:rPr>
        <w:footnoteRef/>
      </w:r>
      <w:r>
        <w:t xml:space="preserve"> </w:t>
      </w:r>
      <w:r>
        <w:rPr>
          <w:i/>
        </w:rPr>
        <w:t>Commonwealth v. Hall</w:t>
      </w:r>
      <w:r>
        <w:t>, 80 A.3d 1204, 1215 (Pa. 2013).</w:t>
      </w:r>
    </w:p>
  </w:footnote>
  <w:footnote w:id="52">
    <w:p w14:paraId="26AD9015" w14:textId="0D360138" w:rsidR="00825B38" w:rsidRPr="000F3036" w:rsidRDefault="00825B38">
      <w:pPr>
        <w:pStyle w:val="FootnoteText"/>
      </w:pPr>
      <w:r>
        <w:rPr>
          <w:rStyle w:val="FootnoteReference"/>
        </w:rPr>
        <w:footnoteRef/>
      </w:r>
      <w:r>
        <w:t xml:space="preserve"> </w:t>
      </w:r>
      <w:r w:rsidR="00B47EAA">
        <w:rPr>
          <w:i/>
        </w:rPr>
        <w:t>Id</w:t>
      </w:r>
      <w:r w:rsidR="000F3036">
        <w:t xml:space="preserve">. at 1212; </w:t>
      </w:r>
      <w:r w:rsidR="000F3036">
        <w:rPr>
          <w:i/>
        </w:rPr>
        <w:t>Hunt</w:t>
      </w:r>
      <w:r w:rsidR="000F3036">
        <w:t xml:space="preserve">, </w:t>
      </w:r>
      <w:r w:rsidR="000F3036" w:rsidRPr="000F3036">
        <w:t>2019 PA Super 296</w:t>
      </w:r>
      <w:r w:rsidR="000F3036">
        <w:t xml:space="preserve"> (“</w:t>
      </w:r>
      <w:r w:rsidR="000F3036" w:rsidRPr="000F3036">
        <w:t>Finally, where restitution is imposed in addition to a statutory punishment, such as imprisonment, the order must be strictly scrutinized since its purpose is primarily punitive.”</w:t>
      </w:r>
      <w:r w:rsidR="000F3036">
        <w:t>) (internal quotation marks omitted).</w:t>
      </w:r>
    </w:p>
  </w:footnote>
  <w:footnote w:id="53">
    <w:p w14:paraId="314B67A3" w14:textId="7376C619" w:rsidR="000266DE" w:rsidRDefault="000266DE" w:rsidP="000266DE">
      <w:pPr>
        <w:pStyle w:val="FootnoteText"/>
      </w:pPr>
      <w:r>
        <w:rPr>
          <w:rStyle w:val="FootnoteReference"/>
        </w:rPr>
        <w:footnoteRef/>
      </w:r>
      <w:r>
        <w:t xml:space="preserve"> </w:t>
      </w:r>
      <w:r w:rsidR="005D2124">
        <w:rPr>
          <w:i/>
        </w:rPr>
        <w:t>Commonwealth v. Atanasio</w:t>
      </w:r>
      <w:r w:rsidR="005D2124">
        <w:t>, 997 A.2d 1181, 1183 (Pa. Super. Ct. 2010).</w:t>
      </w:r>
    </w:p>
  </w:footnote>
  <w:footnote w:id="54">
    <w:p w14:paraId="1E1C03DF" w14:textId="6ED551BA" w:rsidR="000266DE" w:rsidRPr="005D2124" w:rsidRDefault="000266DE" w:rsidP="000266DE">
      <w:pPr>
        <w:pStyle w:val="FootnoteText"/>
      </w:pPr>
      <w:r>
        <w:rPr>
          <w:rStyle w:val="FootnoteReference"/>
        </w:rPr>
        <w:footnoteRef/>
      </w:r>
      <w:r>
        <w:t xml:space="preserve"> </w:t>
      </w:r>
      <w:r w:rsidR="005D2124">
        <w:rPr>
          <w:i/>
        </w:rPr>
        <w:t>Id</w:t>
      </w:r>
      <w:r w:rsidR="005D2124">
        <w:t>.</w:t>
      </w:r>
      <w:r w:rsidR="002B5F70">
        <w:t xml:space="preserve"> (the amount of restitution must be determined under the adversarial system with due process). </w:t>
      </w:r>
    </w:p>
  </w:footnote>
  <w:footnote w:id="55">
    <w:p w14:paraId="243B38C0" w14:textId="50473FD0" w:rsidR="00174894" w:rsidRPr="00174894" w:rsidRDefault="00174894">
      <w:pPr>
        <w:pStyle w:val="FootnoteText"/>
      </w:pPr>
      <w:r>
        <w:rPr>
          <w:rStyle w:val="FootnoteReference"/>
        </w:rPr>
        <w:footnoteRef/>
      </w:r>
      <w:r>
        <w:t xml:space="preserve"> </w:t>
      </w:r>
      <w:r w:rsidR="005D2124">
        <w:rPr>
          <w:i/>
        </w:rPr>
        <w:t>Commonwealth v. Dohner</w:t>
      </w:r>
      <w:r w:rsidR="005D2124">
        <w:t>, 725 A.2d 822, 824 (Pa. Super. Ct. 1999).</w:t>
      </w:r>
    </w:p>
  </w:footnote>
  <w:footnote w:id="56">
    <w:p w14:paraId="1AE012F4" w14:textId="77777777" w:rsidR="00356F99" w:rsidRDefault="00356F99">
      <w:pPr>
        <w:pStyle w:val="FootnoteText"/>
      </w:pPr>
      <w:r>
        <w:rPr>
          <w:rStyle w:val="FootnoteReference"/>
        </w:rPr>
        <w:footnoteRef/>
      </w:r>
      <w:r>
        <w:t xml:space="preserve"> </w:t>
      </w:r>
      <w:r>
        <w:rPr>
          <w:i/>
        </w:rPr>
        <w:t>Commonwealth v. Deshong</w:t>
      </w:r>
      <w:r>
        <w:t>, 850 A.2d 712, 715-16 (Pa. Super. Ct. 2004).</w:t>
      </w:r>
    </w:p>
  </w:footnote>
  <w:footnote w:id="57">
    <w:p w14:paraId="75ABFBBA" w14:textId="4890E7A6" w:rsidR="00C735BF" w:rsidRDefault="00C735BF">
      <w:pPr>
        <w:pStyle w:val="FootnoteText"/>
      </w:pPr>
      <w:r>
        <w:rPr>
          <w:rStyle w:val="FootnoteReference"/>
        </w:rPr>
        <w:footnoteRef/>
      </w:r>
      <w:r>
        <w:t xml:space="preserve"> </w:t>
      </w:r>
      <w:r w:rsidRPr="00C735BF">
        <w:rPr>
          <w:i/>
        </w:rPr>
        <w:t>Commonwealth v. Mariani</w:t>
      </w:r>
      <w:r w:rsidRPr="00C735BF">
        <w:t>, 869 A.2d 484, 486 (Pa. Super. Ct. 2005)</w:t>
      </w:r>
      <w:r>
        <w:t>.</w:t>
      </w:r>
    </w:p>
  </w:footnote>
  <w:footnote w:id="58">
    <w:p w14:paraId="241252E9" w14:textId="2812F962" w:rsidR="00621717" w:rsidRPr="00621717" w:rsidRDefault="00621717">
      <w:pPr>
        <w:pStyle w:val="FootnoteText"/>
      </w:pPr>
      <w:r>
        <w:rPr>
          <w:rStyle w:val="FootnoteReference"/>
        </w:rPr>
        <w:footnoteRef/>
      </w:r>
      <w:r>
        <w:t xml:space="preserve"> </w:t>
      </w:r>
      <w:r>
        <w:rPr>
          <w:i/>
        </w:rPr>
        <w:t>Commonwealth v. Petrick</w:t>
      </w:r>
      <w:r w:rsidR="004B6EAC">
        <w:t>, 217 A.3d 1217</w:t>
      </w:r>
      <w:bookmarkStart w:id="0" w:name="_GoBack"/>
      <w:bookmarkEnd w:id="0"/>
      <w:r>
        <w:t xml:space="preserve"> (Pa. 2019). </w:t>
      </w:r>
    </w:p>
  </w:footnote>
  <w:footnote w:id="59">
    <w:p w14:paraId="4F40396C" w14:textId="13D2C988" w:rsidR="00CB148B" w:rsidRPr="00CB148B" w:rsidRDefault="00CB148B">
      <w:pPr>
        <w:pStyle w:val="FootnoteText"/>
      </w:pPr>
      <w:r>
        <w:rPr>
          <w:rStyle w:val="FootnoteReference"/>
        </w:rPr>
        <w:footnoteRef/>
      </w:r>
      <w:r>
        <w:t xml:space="preserve"> </w:t>
      </w:r>
      <w:r>
        <w:rPr>
          <w:i/>
        </w:rPr>
        <w:t>Commonwealth v. McKee</w:t>
      </w:r>
      <w:r>
        <w:t xml:space="preserve">, 38 A.3d 879, 881 (Pa. Super. Ct. 2012). </w:t>
      </w:r>
    </w:p>
  </w:footnote>
  <w:footnote w:id="60">
    <w:p w14:paraId="2B31455E" w14:textId="2646E91C" w:rsidR="00EE2DC0" w:rsidRPr="00EE2DC0" w:rsidRDefault="00EE2DC0">
      <w:pPr>
        <w:pStyle w:val="FootnoteText"/>
      </w:pPr>
      <w:r>
        <w:rPr>
          <w:rStyle w:val="FootnoteReference"/>
        </w:rPr>
        <w:footnoteRef/>
      </w:r>
      <w:r>
        <w:t xml:space="preserve"> </w:t>
      </w:r>
      <w:r>
        <w:rPr>
          <w:i/>
        </w:rPr>
        <w:t>McKee</w:t>
      </w:r>
      <w:r>
        <w:t xml:space="preserve">, 38 A.3d </w:t>
      </w:r>
      <w:r w:rsidR="006B2631">
        <w:t>at</w:t>
      </w:r>
      <w:r>
        <w:t xml:space="preserve"> 881.</w:t>
      </w:r>
    </w:p>
  </w:footnote>
  <w:footnote w:id="61">
    <w:p w14:paraId="7E7AE141" w14:textId="77777777" w:rsidR="009F1788" w:rsidRPr="009F1788" w:rsidRDefault="009F1788">
      <w:pPr>
        <w:pStyle w:val="FootnoteText"/>
      </w:pPr>
      <w:r>
        <w:rPr>
          <w:rStyle w:val="FootnoteReference"/>
        </w:rPr>
        <w:footnoteRef/>
      </w:r>
      <w:r>
        <w:t xml:space="preserve"> </w:t>
      </w:r>
      <w:r>
        <w:rPr>
          <w:i/>
        </w:rPr>
        <w:t>Martin</w:t>
      </w:r>
      <w:r>
        <w:t>, 335 A.2d at 426 n.3.</w:t>
      </w:r>
    </w:p>
  </w:footnote>
  <w:footnote w:id="62">
    <w:p w14:paraId="1EB7053C" w14:textId="751902DE" w:rsidR="000B24A3" w:rsidRPr="000B24A3" w:rsidRDefault="000B24A3">
      <w:pPr>
        <w:pStyle w:val="FootnoteText"/>
        <w:rPr>
          <w:i/>
        </w:rPr>
      </w:pPr>
      <w:r>
        <w:rPr>
          <w:rStyle w:val="FootnoteReference"/>
        </w:rPr>
        <w:footnoteRef/>
      </w:r>
      <w:r>
        <w:t xml:space="preserve"> </w:t>
      </w:r>
      <w:r w:rsidRPr="000B24A3">
        <w:rPr>
          <w:i/>
        </w:rPr>
        <w:t>Commonwealth v. Eggers</w:t>
      </w:r>
      <w:r>
        <w:t xml:space="preserve">, 742 A.2d 174, 176 n.1 (Pa. Super. Ct. 1999) (receiving public assistance and the services of the public defender’s office “invite the presumption of indigence”); </w:t>
      </w:r>
      <w:r w:rsidRPr="004E3A1E">
        <w:rPr>
          <w:i/>
        </w:rPr>
        <w:t>Commonwealth v. Smetana</w:t>
      </w:r>
      <w:r>
        <w:t xml:space="preserve">, </w:t>
      </w:r>
      <w:r w:rsidR="00645DFF">
        <w:t>191 A.3d 867, 873</w:t>
      </w:r>
      <w:r>
        <w:t xml:space="preserve"> at n.10 (Pa. Super. Ct. 2018) (endorsing the use of a national bench card that, among other items describes receipt of SSI as an indication that the defendant is unable to pay). </w:t>
      </w:r>
    </w:p>
  </w:footnote>
  <w:footnote w:id="63">
    <w:p w14:paraId="4B20799E" w14:textId="47E90029" w:rsidR="004E3A1E" w:rsidRDefault="004E3A1E" w:rsidP="004E3A1E">
      <w:pPr>
        <w:pStyle w:val="FootnoteText"/>
      </w:pPr>
      <w:r>
        <w:rPr>
          <w:rStyle w:val="FootnoteReference"/>
        </w:rPr>
        <w:footnoteRef/>
      </w:r>
      <w:r>
        <w:t xml:space="preserve"> </w:t>
      </w:r>
      <w:r w:rsidRPr="004E3A1E">
        <w:rPr>
          <w:i/>
        </w:rPr>
        <w:t>Smetana</w:t>
      </w:r>
      <w:r>
        <w:t xml:space="preserve">, </w:t>
      </w:r>
      <w:r w:rsidR="00645DFF">
        <w:t>191 A.3d at 873</w:t>
      </w:r>
      <w:r>
        <w:t xml:space="preserve"> (“Although Appellant indicated that he could potentially borrow money from a sibling, the court failed to find—as our law requires—that he alone had the financial ability to pay the outstanding fines and costs such that imprisonment was warranted.”).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836"/>
    <w:multiLevelType w:val="hybridMultilevel"/>
    <w:tmpl w:val="34309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42728"/>
    <w:multiLevelType w:val="hybridMultilevel"/>
    <w:tmpl w:val="C4F46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15527"/>
    <w:multiLevelType w:val="hybridMultilevel"/>
    <w:tmpl w:val="5B403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E03AE"/>
    <w:multiLevelType w:val="hybridMultilevel"/>
    <w:tmpl w:val="A7FA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078E7"/>
    <w:multiLevelType w:val="hybridMultilevel"/>
    <w:tmpl w:val="33546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67DA2"/>
    <w:multiLevelType w:val="hybridMultilevel"/>
    <w:tmpl w:val="ED52E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C790D"/>
    <w:multiLevelType w:val="hybridMultilevel"/>
    <w:tmpl w:val="5AE69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B6D9B"/>
    <w:multiLevelType w:val="hybridMultilevel"/>
    <w:tmpl w:val="E3E0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862D4"/>
    <w:multiLevelType w:val="hybridMultilevel"/>
    <w:tmpl w:val="4410A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0D"/>
    <w:rsid w:val="000246F6"/>
    <w:rsid w:val="000266DE"/>
    <w:rsid w:val="00033604"/>
    <w:rsid w:val="000348E2"/>
    <w:rsid w:val="0006100B"/>
    <w:rsid w:val="00067F7F"/>
    <w:rsid w:val="000824B2"/>
    <w:rsid w:val="00092F3E"/>
    <w:rsid w:val="000B24A3"/>
    <w:rsid w:val="000B38C2"/>
    <w:rsid w:val="000B46D2"/>
    <w:rsid w:val="000C0A6A"/>
    <w:rsid w:val="000F3036"/>
    <w:rsid w:val="000F3A56"/>
    <w:rsid w:val="000F755F"/>
    <w:rsid w:val="0011037F"/>
    <w:rsid w:val="00114C2D"/>
    <w:rsid w:val="001265A6"/>
    <w:rsid w:val="0013273E"/>
    <w:rsid w:val="00135BC5"/>
    <w:rsid w:val="00164515"/>
    <w:rsid w:val="00167E13"/>
    <w:rsid w:val="00174894"/>
    <w:rsid w:val="00180981"/>
    <w:rsid w:val="001876AC"/>
    <w:rsid w:val="00193503"/>
    <w:rsid w:val="00197247"/>
    <w:rsid w:val="001A255E"/>
    <w:rsid w:val="001A3A30"/>
    <w:rsid w:val="001A6474"/>
    <w:rsid w:val="001D0E66"/>
    <w:rsid w:val="001E1877"/>
    <w:rsid w:val="001E77CB"/>
    <w:rsid w:val="002053CF"/>
    <w:rsid w:val="002136B4"/>
    <w:rsid w:val="002138DC"/>
    <w:rsid w:val="00213A7A"/>
    <w:rsid w:val="00221BA7"/>
    <w:rsid w:val="002317E5"/>
    <w:rsid w:val="002567F8"/>
    <w:rsid w:val="002662D9"/>
    <w:rsid w:val="00272C31"/>
    <w:rsid w:val="00282B61"/>
    <w:rsid w:val="002B5F70"/>
    <w:rsid w:val="002E7492"/>
    <w:rsid w:val="002F07F0"/>
    <w:rsid w:val="002F111A"/>
    <w:rsid w:val="00307472"/>
    <w:rsid w:val="00313968"/>
    <w:rsid w:val="00316E0B"/>
    <w:rsid w:val="003458C4"/>
    <w:rsid w:val="00351EB5"/>
    <w:rsid w:val="003555E9"/>
    <w:rsid w:val="00356F99"/>
    <w:rsid w:val="003632A4"/>
    <w:rsid w:val="00374E96"/>
    <w:rsid w:val="003B1985"/>
    <w:rsid w:val="003B3C75"/>
    <w:rsid w:val="003B6ECF"/>
    <w:rsid w:val="003C74E1"/>
    <w:rsid w:val="003D054B"/>
    <w:rsid w:val="003D5413"/>
    <w:rsid w:val="003E46CF"/>
    <w:rsid w:val="003E5D17"/>
    <w:rsid w:val="003E602F"/>
    <w:rsid w:val="003E617D"/>
    <w:rsid w:val="003E7845"/>
    <w:rsid w:val="003F4FB8"/>
    <w:rsid w:val="0041226D"/>
    <w:rsid w:val="00433EF2"/>
    <w:rsid w:val="004500D1"/>
    <w:rsid w:val="00472887"/>
    <w:rsid w:val="00480533"/>
    <w:rsid w:val="00485D10"/>
    <w:rsid w:val="004874F8"/>
    <w:rsid w:val="00487672"/>
    <w:rsid w:val="0049615B"/>
    <w:rsid w:val="004B00F8"/>
    <w:rsid w:val="004B6EAC"/>
    <w:rsid w:val="004C664B"/>
    <w:rsid w:val="004D5C96"/>
    <w:rsid w:val="004E3A1E"/>
    <w:rsid w:val="004F2932"/>
    <w:rsid w:val="004F6DF1"/>
    <w:rsid w:val="00502D31"/>
    <w:rsid w:val="00517B35"/>
    <w:rsid w:val="00523B04"/>
    <w:rsid w:val="00565B3A"/>
    <w:rsid w:val="00573376"/>
    <w:rsid w:val="00581D40"/>
    <w:rsid w:val="00590C1F"/>
    <w:rsid w:val="005A7148"/>
    <w:rsid w:val="005B542A"/>
    <w:rsid w:val="005C6873"/>
    <w:rsid w:val="005C758E"/>
    <w:rsid w:val="005D2124"/>
    <w:rsid w:val="005E4BA1"/>
    <w:rsid w:val="005E7AD2"/>
    <w:rsid w:val="005E7DE5"/>
    <w:rsid w:val="005F5524"/>
    <w:rsid w:val="00602275"/>
    <w:rsid w:val="0060568C"/>
    <w:rsid w:val="006108D3"/>
    <w:rsid w:val="00621717"/>
    <w:rsid w:val="0062228A"/>
    <w:rsid w:val="006226C7"/>
    <w:rsid w:val="00645DFF"/>
    <w:rsid w:val="00652189"/>
    <w:rsid w:val="00655D9C"/>
    <w:rsid w:val="00677486"/>
    <w:rsid w:val="00681B22"/>
    <w:rsid w:val="00694EF4"/>
    <w:rsid w:val="006A7C3C"/>
    <w:rsid w:val="006B2631"/>
    <w:rsid w:val="006B7C17"/>
    <w:rsid w:val="006C0715"/>
    <w:rsid w:val="006E7C79"/>
    <w:rsid w:val="0071614E"/>
    <w:rsid w:val="00723042"/>
    <w:rsid w:val="00743699"/>
    <w:rsid w:val="00752EAB"/>
    <w:rsid w:val="00755303"/>
    <w:rsid w:val="0075679F"/>
    <w:rsid w:val="0077328A"/>
    <w:rsid w:val="00780F1F"/>
    <w:rsid w:val="007878A8"/>
    <w:rsid w:val="007A4238"/>
    <w:rsid w:val="007A746E"/>
    <w:rsid w:val="007B2A38"/>
    <w:rsid w:val="007C01C8"/>
    <w:rsid w:val="007C52C7"/>
    <w:rsid w:val="007D3FBE"/>
    <w:rsid w:val="007D5737"/>
    <w:rsid w:val="00802B4C"/>
    <w:rsid w:val="00806965"/>
    <w:rsid w:val="0081436C"/>
    <w:rsid w:val="00820D37"/>
    <w:rsid w:val="0082586B"/>
    <w:rsid w:val="00825B38"/>
    <w:rsid w:val="0083308E"/>
    <w:rsid w:val="00847F7E"/>
    <w:rsid w:val="0085492E"/>
    <w:rsid w:val="00865CA7"/>
    <w:rsid w:val="00866F8C"/>
    <w:rsid w:val="008B1B68"/>
    <w:rsid w:val="008D5A8A"/>
    <w:rsid w:val="008E49AE"/>
    <w:rsid w:val="008E7CC6"/>
    <w:rsid w:val="008F382A"/>
    <w:rsid w:val="009024AA"/>
    <w:rsid w:val="009103C2"/>
    <w:rsid w:val="00921A0E"/>
    <w:rsid w:val="00926A40"/>
    <w:rsid w:val="009325BE"/>
    <w:rsid w:val="00934889"/>
    <w:rsid w:val="00971E3B"/>
    <w:rsid w:val="00987BE6"/>
    <w:rsid w:val="009B57B2"/>
    <w:rsid w:val="009D726C"/>
    <w:rsid w:val="009E5F97"/>
    <w:rsid w:val="009F1788"/>
    <w:rsid w:val="00A03F6A"/>
    <w:rsid w:val="00A138AF"/>
    <w:rsid w:val="00A13AF7"/>
    <w:rsid w:val="00A21FDA"/>
    <w:rsid w:val="00A455C2"/>
    <w:rsid w:val="00A52A41"/>
    <w:rsid w:val="00A712F4"/>
    <w:rsid w:val="00A96D80"/>
    <w:rsid w:val="00A971EF"/>
    <w:rsid w:val="00AA14AB"/>
    <w:rsid w:val="00AA3343"/>
    <w:rsid w:val="00AB6EA5"/>
    <w:rsid w:val="00AD1880"/>
    <w:rsid w:val="00AD5FC3"/>
    <w:rsid w:val="00AD66E1"/>
    <w:rsid w:val="00AE3694"/>
    <w:rsid w:val="00AF5279"/>
    <w:rsid w:val="00B11EBA"/>
    <w:rsid w:val="00B27C76"/>
    <w:rsid w:val="00B33176"/>
    <w:rsid w:val="00B43067"/>
    <w:rsid w:val="00B47EAA"/>
    <w:rsid w:val="00B509D3"/>
    <w:rsid w:val="00B6310E"/>
    <w:rsid w:val="00B72CD1"/>
    <w:rsid w:val="00B84D95"/>
    <w:rsid w:val="00B92434"/>
    <w:rsid w:val="00BB2FEC"/>
    <w:rsid w:val="00BB449D"/>
    <w:rsid w:val="00BD5AFD"/>
    <w:rsid w:val="00BE50FE"/>
    <w:rsid w:val="00BF2FD4"/>
    <w:rsid w:val="00BF3BB8"/>
    <w:rsid w:val="00C1459A"/>
    <w:rsid w:val="00C23B05"/>
    <w:rsid w:val="00C26BC7"/>
    <w:rsid w:val="00C305A8"/>
    <w:rsid w:val="00C53B21"/>
    <w:rsid w:val="00C54875"/>
    <w:rsid w:val="00C735BF"/>
    <w:rsid w:val="00C80A79"/>
    <w:rsid w:val="00CB148B"/>
    <w:rsid w:val="00CB2D7E"/>
    <w:rsid w:val="00CC3389"/>
    <w:rsid w:val="00CC56D5"/>
    <w:rsid w:val="00D07CCC"/>
    <w:rsid w:val="00D1532C"/>
    <w:rsid w:val="00D226ED"/>
    <w:rsid w:val="00D2321D"/>
    <w:rsid w:val="00D33174"/>
    <w:rsid w:val="00D41AD3"/>
    <w:rsid w:val="00D41D33"/>
    <w:rsid w:val="00D429C6"/>
    <w:rsid w:val="00D61470"/>
    <w:rsid w:val="00D84DC6"/>
    <w:rsid w:val="00D87744"/>
    <w:rsid w:val="00D93FE8"/>
    <w:rsid w:val="00DC7F24"/>
    <w:rsid w:val="00E0173D"/>
    <w:rsid w:val="00E0205D"/>
    <w:rsid w:val="00E30324"/>
    <w:rsid w:val="00E35334"/>
    <w:rsid w:val="00E47246"/>
    <w:rsid w:val="00E7404E"/>
    <w:rsid w:val="00E80C07"/>
    <w:rsid w:val="00E90DAA"/>
    <w:rsid w:val="00E92527"/>
    <w:rsid w:val="00E97BD2"/>
    <w:rsid w:val="00EA1472"/>
    <w:rsid w:val="00EA657C"/>
    <w:rsid w:val="00EC458C"/>
    <w:rsid w:val="00EC73B8"/>
    <w:rsid w:val="00EC7905"/>
    <w:rsid w:val="00EC7BB6"/>
    <w:rsid w:val="00ED0A46"/>
    <w:rsid w:val="00EE2DC0"/>
    <w:rsid w:val="00EE762A"/>
    <w:rsid w:val="00F2305A"/>
    <w:rsid w:val="00F24852"/>
    <w:rsid w:val="00F25680"/>
    <w:rsid w:val="00F61A0D"/>
    <w:rsid w:val="00F63535"/>
    <w:rsid w:val="00F865C2"/>
    <w:rsid w:val="00F877BF"/>
    <w:rsid w:val="00FA53D1"/>
    <w:rsid w:val="00FA77DB"/>
    <w:rsid w:val="00FA77EC"/>
    <w:rsid w:val="00FB0FDE"/>
    <w:rsid w:val="00FD4D96"/>
    <w:rsid w:val="00FF1D03"/>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19CE"/>
  <w15:chartTrackingRefBased/>
  <w15:docId w15:val="{EC26F16A-20F3-45A7-9805-CEB887D5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AFD"/>
    <w:pPr>
      <w:spacing w:after="0" w:line="240" w:lineRule="auto"/>
      <w:contextualSpacing/>
    </w:pPr>
    <w:rPr>
      <w:rFonts w:ascii="Times New Roman" w:hAnsi="Times New Roman"/>
      <w:sz w:val="24"/>
    </w:rPr>
  </w:style>
  <w:style w:type="paragraph" w:styleId="Heading2">
    <w:name w:val="heading 2"/>
    <w:basedOn w:val="Normal"/>
    <w:next w:val="Normal"/>
    <w:link w:val="Heading2Char"/>
    <w:uiPriority w:val="9"/>
    <w:semiHidden/>
    <w:unhideWhenUsed/>
    <w:qFormat/>
    <w:rsid w:val="00CC3389"/>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68"/>
    <w:pPr>
      <w:ind w:left="720"/>
    </w:pPr>
  </w:style>
  <w:style w:type="paragraph" w:styleId="FootnoteText">
    <w:name w:val="footnote text"/>
    <w:basedOn w:val="Normal"/>
    <w:link w:val="FootnoteTextChar"/>
    <w:uiPriority w:val="99"/>
    <w:unhideWhenUsed/>
    <w:rsid w:val="008B1B68"/>
    <w:rPr>
      <w:sz w:val="20"/>
      <w:szCs w:val="20"/>
    </w:rPr>
  </w:style>
  <w:style w:type="character" w:customStyle="1" w:styleId="FootnoteTextChar">
    <w:name w:val="Footnote Text Char"/>
    <w:basedOn w:val="DefaultParagraphFont"/>
    <w:link w:val="FootnoteText"/>
    <w:uiPriority w:val="99"/>
    <w:rsid w:val="008B1B68"/>
    <w:rPr>
      <w:rFonts w:ascii="Times New Roman" w:hAnsi="Times New Roman"/>
      <w:sz w:val="20"/>
      <w:szCs w:val="20"/>
    </w:rPr>
  </w:style>
  <w:style w:type="character" w:styleId="FootnoteReference">
    <w:name w:val="footnote reference"/>
    <w:basedOn w:val="DefaultParagraphFont"/>
    <w:uiPriority w:val="99"/>
    <w:unhideWhenUsed/>
    <w:rsid w:val="008B1B68"/>
    <w:rPr>
      <w:vertAlign w:val="superscript"/>
    </w:rPr>
  </w:style>
  <w:style w:type="character" w:customStyle="1" w:styleId="Heading2Char">
    <w:name w:val="Heading 2 Char"/>
    <w:basedOn w:val="DefaultParagraphFont"/>
    <w:link w:val="Heading2"/>
    <w:uiPriority w:val="9"/>
    <w:semiHidden/>
    <w:rsid w:val="00CC3389"/>
    <w:rPr>
      <w:rFonts w:ascii="Times New Roman" w:eastAsiaTheme="majorEastAsia" w:hAnsi="Times New Roman" w:cstheme="majorBidi"/>
      <w:b/>
      <w:sz w:val="28"/>
      <w:szCs w:val="26"/>
    </w:rPr>
  </w:style>
  <w:style w:type="paragraph" w:styleId="Header">
    <w:name w:val="header"/>
    <w:basedOn w:val="Normal"/>
    <w:link w:val="HeaderChar"/>
    <w:uiPriority w:val="99"/>
    <w:unhideWhenUsed/>
    <w:rsid w:val="00272C31"/>
    <w:pPr>
      <w:tabs>
        <w:tab w:val="center" w:pos="4680"/>
        <w:tab w:val="right" w:pos="9360"/>
      </w:tabs>
    </w:pPr>
  </w:style>
  <w:style w:type="character" w:customStyle="1" w:styleId="HeaderChar">
    <w:name w:val="Header Char"/>
    <w:basedOn w:val="DefaultParagraphFont"/>
    <w:link w:val="Header"/>
    <w:uiPriority w:val="99"/>
    <w:rsid w:val="00272C31"/>
    <w:rPr>
      <w:rFonts w:ascii="Times New Roman" w:hAnsi="Times New Roman"/>
      <w:sz w:val="24"/>
    </w:rPr>
  </w:style>
  <w:style w:type="paragraph" w:styleId="Footer">
    <w:name w:val="footer"/>
    <w:basedOn w:val="Normal"/>
    <w:link w:val="FooterChar"/>
    <w:uiPriority w:val="99"/>
    <w:unhideWhenUsed/>
    <w:rsid w:val="00272C31"/>
    <w:pPr>
      <w:tabs>
        <w:tab w:val="center" w:pos="4680"/>
        <w:tab w:val="right" w:pos="9360"/>
      </w:tabs>
    </w:pPr>
  </w:style>
  <w:style w:type="character" w:customStyle="1" w:styleId="FooterChar">
    <w:name w:val="Footer Char"/>
    <w:basedOn w:val="DefaultParagraphFont"/>
    <w:link w:val="Footer"/>
    <w:uiPriority w:val="99"/>
    <w:rsid w:val="00272C31"/>
    <w:rPr>
      <w:rFonts w:ascii="Times New Roman" w:hAnsi="Times New Roman"/>
      <w:sz w:val="24"/>
    </w:rPr>
  </w:style>
  <w:style w:type="character" w:styleId="Hyperlink">
    <w:name w:val="Hyperlink"/>
    <w:basedOn w:val="DefaultParagraphFont"/>
    <w:uiPriority w:val="99"/>
    <w:unhideWhenUsed/>
    <w:rsid w:val="00AB6EA5"/>
    <w:rPr>
      <w:color w:val="0563C1" w:themeColor="hyperlink"/>
      <w:u w:val="single"/>
    </w:rPr>
  </w:style>
  <w:style w:type="character" w:styleId="CommentReference">
    <w:name w:val="annotation reference"/>
    <w:basedOn w:val="DefaultParagraphFont"/>
    <w:uiPriority w:val="99"/>
    <w:semiHidden/>
    <w:unhideWhenUsed/>
    <w:rsid w:val="002E7492"/>
    <w:rPr>
      <w:sz w:val="16"/>
      <w:szCs w:val="16"/>
    </w:rPr>
  </w:style>
  <w:style w:type="paragraph" w:styleId="CommentText">
    <w:name w:val="annotation text"/>
    <w:basedOn w:val="Normal"/>
    <w:link w:val="CommentTextChar"/>
    <w:uiPriority w:val="99"/>
    <w:semiHidden/>
    <w:unhideWhenUsed/>
    <w:rsid w:val="002E7492"/>
    <w:rPr>
      <w:sz w:val="20"/>
      <w:szCs w:val="20"/>
    </w:rPr>
  </w:style>
  <w:style w:type="character" w:customStyle="1" w:styleId="CommentTextChar">
    <w:name w:val="Comment Text Char"/>
    <w:basedOn w:val="DefaultParagraphFont"/>
    <w:link w:val="CommentText"/>
    <w:uiPriority w:val="99"/>
    <w:semiHidden/>
    <w:rsid w:val="002E749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7492"/>
    <w:rPr>
      <w:b/>
      <w:bCs/>
    </w:rPr>
  </w:style>
  <w:style w:type="character" w:customStyle="1" w:styleId="CommentSubjectChar">
    <w:name w:val="Comment Subject Char"/>
    <w:basedOn w:val="CommentTextChar"/>
    <w:link w:val="CommentSubject"/>
    <w:uiPriority w:val="99"/>
    <w:semiHidden/>
    <w:rsid w:val="002E7492"/>
    <w:rPr>
      <w:rFonts w:ascii="Times New Roman" w:hAnsi="Times New Roman"/>
      <w:b/>
      <w:bCs/>
      <w:sz w:val="20"/>
      <w:szCs w:val="20"/>
    </w:rPr>
  </w:style>
  <w:style w:type="paragraph" w:styleId="BalloonText">
    <w:name w:val="Balloon Text"/>
    <w:basedOn w:val="Normal"/>
    <w:link w:val="BalloonTextChar"/>
    <w:uiPriority w:val="99"/>
    <w:semiHidden/>
    <w:unhideWhenUsed/>
    <w:rsid w:val="002E7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92"/>
    <w:rPr>
      <w:rFonts w:ascii="Segoe UI" w:hAnsi="Segoe UI" w:cs="Segoe UI"/>
      <w:sz w:val="18"/>
      <w:szCs w:val="18"/>
    </w:rPr>
  </w:style>
  <w:style w:type="character" w:styleId="FollowedHyperlink">
    <w:name w:val="FollowedHyperlink"/>
    <w:basedOn w:val="DefaultParagraphFont"/>
    <w:uiPriority w:val="99"/>
    <w:semiHidden/>
    <w:unhideWhenUsed/>
    <w:rsid w:val="000F7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upa.org/finesandcos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9094E-5A08-494E-A763-4B2D48E2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18</cp:revision>
  <dcterms:created xsi:type="dcterms:W3CDTF">2020-03-11T12:39:00Z</dcterms:created>
  <dcterms:modified xsi:type="dcterms:W3CDTF">2020-09-16T15:05:00Z</dcterms:modified>
</cp:coreProperties>
</file>