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218A0" w14:textId="77777777" w:rsidR="00647042" w:rsidRPr="00493895" w:rsidRDefault="00107628" w:rsidP="00107628">
      <w:pPr>
        <w:jc w:val="center"/>
        <w:rPr>
          <w:b/>
        </w:rPr>
      </w:pPr>
      <w:r w:rsidRPr="00493895">
        <w:rPr>
          <w:b/>
        </w:rPr>
        <w:t>IN THE COURT OF COMMON PLEASE PHILADELPHIA COUNTY</w:t>
      </w:r>
    </w:p>
    <w:p w14:paraId="3F5786DF" w14:textId="77777777" w:rsidR="00107628" w:rsidRPr="00CE1CBD" w:rsidRDefault="00107628" w:rsidP="00107628">
      <w:pPr>
        <w:jc w:val="center"/>
        <w:rPr>
          <w:b/>
          <w:color w:val="FF0000"/>
        </w:rPr>
      </w:pPr>
      <w:r w:rsidRPr="00CE1CBD">
        <w:rPr>
          <w:b/>
          <w:color w:val="FF0000"/>
        </w:rPr>
        <w:t>FIRST JUDICIAL DISTRICT OF PENNSYLVANIA</w:t>
      </w:r>
    </w:p>
    <w:p w14:paraId="1BDDDD33" w14:textId="77777777" w:rsidR="00107628" w:rsidRPr="00CE1CBD" w:rsidRDefault="00107628" w:rsidP="00107628">
      <w:pPr>
        <w:jc w:val="center"/>
        <w:rPr>
          <w:b/>
          <w:color w:val="FF0000"/>
        </w:rPr>
      </w:pPr>
    </w:p>
    <w:p w14:paraId="297BAC3E" w14:textId="77777777" w:rsidR="00107628" w:rsidRPr="00CE1CBD" w:rsidRDefault="00107628" w:rsidP="00107628">
      <w:pPr>
        <w:jc w:val="center"/>
        <w:rPr>
          <w:b/>
          <w:color w:val="FF0000"/>
          <w:u w:val="single"/>
        </w:rPr>
      </w:pPr>
      <w:r w:rsidRPr="00CE1CBD">
        <w:rPr>
          <w:b/>
          <w:color w:val="FF0000"/>
          <w:u w:val="single"/>
        </w:rPr>
        <w:t>TRIAL DIVISION—CRIMINAL</w:t>
      </w:r>
    </w:p>
    <w:p w14:paraId="088BA1A4" w14:textId="77777777" w:rsidR="00107628" w:rsidRPr="00493895" w:rsidRDefault="00107628" w:rsidP="00107628">
      <w:pPr>
        <w:jc w:val="center"/>
        <w:rPr>
          <w:b/>
          <w:u w:val="single"/>
        </w:rPr>
      </w:pPr>
    </w:p>
    <w:p w14:paraId="6FC4BF42" w14:textId="77777777" w:rsidR="00107628" w:rsidRPr="00493895" w:rsidRDefault="00107628" w:rsidP="00107628">
      <w:pPr>
        <w:rPr>
          <w:b/>
        </w:rPr>
      </w:pPr>
    </w:p>
    <w:p w14:paraId="4FF663DB" w14:textId="52F2BFCA" w:rsidR="00C77DAE" w:rsidRPr="00493895" w:rsidRDefault="00C77DAE" w:rsidP="00107628">
      <w:pPr>
        <w:rPr>
          <w:b/>
        </w:rPr>
      </w:pPr>
      <w:r w:rsidRPr="00493895">
        <w:rPr>
          <w:b/>
        </w:rPr>
        <w:t>COMMONWEALTH OF PENNSYLVANIA</w:t>
      </w:r>
      <w:r w:rsidRPr="00493895">
        <w:rPr>
          <w:b/>
        </w:rPr>
        <w:tab/>
        <w:t>:</w:t>
      </w:r>
    </w:p>
    <w:p w14:paraId="3A619E34" w14:textId="45B48A17"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4A153315" w14:textId="22C9D0F4"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2A558C3D" w14:textId="46CC99AB" w:rsidR="00C77DAE" w:rsidRPr="00493895" w:rsidRDefault="00C77DAE" w:rsidP="00107628">
      <w:pPr>
        <w:rPr>
          <w:b/>
        </w:rPr>
      </w:pPr>
      <w:r w:rsidRPr="00493895">
        <w:rPr>
          <w:b/>
        </w:rPr>
        <w:tab/>
        <w:t xml:space="preserve">v. </w:t>
      </w:r>
      <w:r w:rsidRPr="00493895">
        <w:rPr>
          <w:b/>
        </w:rPr>
        <w:tab/>
      </w:r>
      <w:r w:rsidRPr="00493895">
        <w:rPr>
          <w:b/>
        </w:rPr>
        <w:tab/>
      </w:r>
      <w:r w:rsidRPr="00493895">
        <w:rPr>
          <w:b/>
        </w:rPr>
        <w:tab/>
      </w:r>
      <w:r w:rsidRPr="00493895">
        <w:rPr>
          <w:b/>
        </w:rPr>
        <w:tab/>
      </w:r>
      <w:r w:rsidRPr="00493895">
        <w:rPr>
          <w:b/>
        </w:rPr>
        <w:tab/>
      </w:r>
      <w:r w:rsidRPr="00493895">
        <w:rPr>
          <w:b/>
        </w:rPr>
        <w:tab/>
        <w:t>:</w:t>
      </w:r>
      <w:r w:rsidR="005F52F2" w:rsidRPr="00493895">
        <w:rPr>
          <w:b/>
        </w:rPr>
        <w:tab/>
      </w:r>
      <w:r w:rsidR="005F52F2" w:rsidRPr="00CE1CBD">
        <w:rPr>
          <w:b/>
          <w:color w:val="FF0000"/>
        </w:rPr>
        <w:t xml:space="preserve">No. </w:t>
      </w:r>
    </w:p>
    <w:p w14:paraId="0DF792AD" w14:textId="4CDC6002"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62A22614" w14:textId="3D5C030B"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019BB1E6" w14:textId="66D3DDA3" w:rsidR="00C77DAE" w:rsidRPr="00493895" w:rsidRDefault="005F52F2" w:rsidP="00107628">
      <w:pPr>
        <w:rPr>
          <w:b/>
        </w:rPr>
      </w:pPr>
      <w:r w:rsidRPr="00CE1CBD">
        <w:rPr>
          <w:b/>
          <w:color w:val="FF0000"/>
        </w:rPr>
        <w:t>JOHN DOE</w:t>
      </w:r>
      <w:r w:rsidRPr="00493895">
        <w:rPr>
          <w:b/>
        </w:rPr>
        <w:tab/>
      </w:r>
      <w:r w:rsidRPr="00493895">
        <w:rPr>
          <w:b/>
        </w:rPr>
        <w:tab/>
      </w:r>
      <w:r w:rsidR="00C77DAE" w:rsidRPr="00493895">
        <w:rPr>
          <w:b/>
        </w:rPr>
        <w:tab/>
      </w:r>
      <w:r w:rsidR="00C77DAE" w:rsidRPr="00493895">
        <w:rPr>
          <w:b/>
        </w:rPr>
        <w:tab/>
      </w:r>
      <w:r w:rsidR="00C77DAE" w:rsidRPr="00493895">
        <w:rPr>
          <w:b/>
        </w:rPr>
        <w:tab/>
      </w:r>
      <w:r w:rsidR="00C77DAE" w:rsidRPr="00493895">
        <w:rPr>
          <w:b/>
        </w:rPr>
        <w:tab/>
        <w:t>:</w:t>
      </w:r>
    </w:p>
    <w:p w14:paraId="1E341D11" w14:textId="77777777" w:rsidR="00C77DAE" w:rsidRPr="00493895" w:rsidRDefault="00C77DAE" w:rsidP="00107628">
      <w:pPr>
        <w:rPr>
          <w:b/>
        </w:rPr>
      </w:pPr>
      <w:r w:rsidRPr="00493895">
        <w:rPr>
          <w:b/>
        </w:rPr>
        <w:tab/>
      </w:r>
      <w:r w:rsidRPr="00493895">
        <w:rPr>
          <w:b/>
        </w:rPr>
        <w:tab/>
      </w:r>
      <w:r w:rsidRPr="00493895">
        <w:rPr>
          <w:b/>
        </w:rPr>
        <w:tab/>
      </w:r>
      <w:r w:rsidRPr="00493895">
        <w:rPr>
          <w:b/>
        </w:rPr>
        <w:tab/>
      </w:r>
      <w:r w:rsidRPr="00493895">
        <w:rPr>
          <w:b/>
        </w:rPr>
        <w:tab/>
      </w:r>
      <w:r w:rsidRPr="00493895">
        <w:rPr>
          <w:b/>
        </w:rPr>
        <w:tab/>
      </w:r>
      <w:r w:rsidRPr="00493895">
        <w:rPr>
          <w:b/>
        </w:rPr>
        <w:tab/>
        <w:t>:</w:t>
      </w:r>
    </w:p>
    <w:p w14:paraId="056F071F" w14:textId="070718B7" w:rsidR="00C77DAE" w:rsidRPr="00493895" w:rsidRDefault="00C77DAE" w:rsidP="00107628">
      <w:pPr>
        <w:rPr>
          <w:b/>
        </w:rPr>
      </w:pPr>
      <w:r w:rsidRPr="00493895">
        <w:rPr>
          <w:b/>
        </w:rPr>
        <w:t>__________________________________________:</w:t>
      </w:r>
    </w:p>
    <w:p w14:paraId="78FA5A09" w14:textId="19D89DEF" w:rsidR="00C77DAE" w:rsidRPr="00493895" w:rsidRDefault="00C77DAE" w:rsidP="00107628">
      <w:pPr>
        <w:rPr>
          <w:b/>
        </w:rPr>
      </w:pPr>
    </w:p>
    <w:p w14:paraId="32300692" w14:textId="77777777" w:rsidR="005F52F2" w:rsidRPr="00493895" w:rsidRDefault="005F52F2" w:rsidP="00107628">
      <w:pPr>
        <w:rPr>
          <w:b/>
        </w:rPr>
      </w:pPr>
    </w:p>
    <w:p w14:paraId="7778D385" w14:textId="5CCEF4EA" w:rsidR="005F52F2" w:rsidRPr="00493895" w:rsidRDefault="005F52F2" w:rsidP="005F52F2">
      <w:pPr>
        <w:jc w:val="center"/>
        <w:rPr>
          <w:b/>
          <w:u w:val="single"/>
        </w:rPr>
      </w:pPr>
      <w:r w:rsidRPr="00493895">
        <w:rPr>
          <w:b/>
          <w:u w:val="single"/>
        </w:rPr>
        <w:t xml:space="preserve">MEMORANDUM OF </w:t>
      </w:r>
      <w:r w:rsidR="00FC0D17">
        <w:rPr>
          <w:b/>
          <w:u w:val="single"/>
        </w:rPr>
        <w:t>LAW</w:t>
      </w:r>
      <w:r w:rsidRPr="00493895">
        <w:rPr>
          <w:b/>
          <w:u w:val="single"/>
        </w:rPr>
        <w:t xml:space="preserve"> IN SUPPORT OF </w:t>
      </w:r>
      <w:r w:rsidR="00FA039A">
        <w:rPr>
          <w:b/>
          <w:u w:val="single"/>
        </w:rPr>
        <w:t xml:space="preserve">PETITION TO PROCEED WITH EXPUNGEMENT PETITION IN FORMA PAUPERIS </w:t>
      </w:r>
    </w:p>
    <w:p w14:paraId="04F90711" w14:textId="77777777" w:rsidR="005F52F2" w:rsidRPr="00493895" w:rsidRDefault="005F52F2" w:rsidP="005F52F2">
      <w:pPr>
        <w:rPr>
          <w:b/>
          <w:u w:val="single"/>
        </w:rPr>
      </w:pPr>
    </w:p>
    <w:p w14:paraId="7AFA1693" w14:textId="35739759" w:rsidR="00BE79EB" w:rsidRPr="00493895" w:rsidRDefault="005F52F2" w:rsidP="00BE79EB">
      <w:pPr>
        <w:spacing w:line="480" w:lineRule="auto"/>
      </w:pPr>
      <w:r w:rsidRPr="00493895">
        <w:tab/>
      </w:r>
      <w:r w:rsidR="00D7525B" w:rsidRPr="00493895">
        <w:t xml:space="preserve">Defendant </w:t>
      </w:r>
      <w:r w:rsidR="00D7525B" w:rsidRPr="00D23717">
        <w:rPr>
          <w:color w:val="FF0000"/>
        </w:rPr>
        <w:t>John Doe</w:t>
      </w:r>
      <w:r w:rsidR="00D7525B" w:rsidRPr="00493895">
        <w:t>, through counsel, hereby moves this Ho</w:t>
      </w:r>
      <w:r w:rsidR="00553E85" w:rsidRPr="00493895">
        <w:t>norable Court to waive the $132</w:t>
      </w:r>
      <w:r w:rsidR="00365AD9" w:rsidRPr="00493895">
        <w:t xml:space="preserve"> </w:t>
      </w:r>
      <w:r w:rsidR="00FA039A">
        <w:t xml:space="preserve">expungement petition </w:t>
      </w:r>
      <w:r w:rsidR="00365AD9" w:rsidRPr="00493895">
        <w:t>fee</w:t>
      </w:r>
      <w:r w:rsidR="00553E85" w:rsidRPr="00493895">
        <w:t xml:space="preserve"> </w:t>
      </w:r>
      <w:r w:rsidR="00071EBE" w:rsidRPr="00493895">
        <w:t xml:space="preserve">under </w:t>
      </w:r>
      <w:r w:rsidR="00FA039A">
        <w:t xml:space="preserve">42 </w:t>
      </w:r>
      <w:r w:rsidR="00514C2D">
        <w:t>Pa.C.S</w:t>
      </w:r>
      <w:r w:rsidR="00FA039A">
        <w:t>. § 1725.7</w:t>
      </w:r>
      <w:r w:rsidR="004D5D8D">
        <w:t xml:space="preserve"> and request an expungement under 18 Pa.C.S. § 9122</w:t>
      </w:r>
      <w:r w:rsidR="0003317F" w:rsidRPr="00493895">
        <w:t xml:space="preserve"> </w:t>
      </w:r>
      <w:r w:rsidR="00365AD9" w:rsidRPr="00493895">
        <w:t xml:space="preserve">based on </w:t>
      </w:r>
      <w:r w:rsidR="00365AD9" w:rsidRPr="005C32AC">
        <w:rPr>
          <w:color w:val="FF0000"/>
        </w:rPr>
        <w:t xml:space="preserve">his </w:t>
      </w:r>
      <w:r w:rsidR="00365AD9" w:rsidRPr="00493895">
        <w:t>inability to pay</w:t>
      </w:r>
      <w:r w:rsidR="00FA039A">
        <w:t xml:space="preserve"> that fee</w:t>
      </w:r>
      <w:r w:rsidR="00DB415C">
        <w:t xml:space="preserve">. </w:t>
      </w:r>
      <w:r w:rsidR="00DB415C" w:rsidRPr="00DB415C">
        <w:rPr>
          <w:color w:val="FF0000"/>
        </w:rPr>
        <w:t xml:space="preserve">Mr. Doe </w:t>
      </w:r>
      <w:r w:rsidR="00DB415C">
        <w:t xml:space="preserve">has submitted a Petition to proceed </w:t>
      </w:r>
      <w:r w:rsidR="00DB415C" w:rsidRPr="005911CF">
        <w:t>in forma pauperis</w:t>
      </w:r>
      <w:r w:rsidR="00645CF7">
        <w:rPr>
          <w:i/>
        </w:rPr>
        <w:t xml:space="preserve"> </w:t>
      </w:r>
      <w:r w:rsidR="00645CF7">
        <w:t>(“IFP”)</w:t>
      </w:r>
      <w:r w:rsidR="00DB415C">
        <w:t>, and in support of that Peti</w:t>
      </w:r>
      <w:r w:rsidR="00FC0D17">
        <w:t>tion submits this Memorandum of Law</w:t>
      </w:r>
      <w:r w:rsidR="00645CF7">
        <w:t>. Pennsylvania common law</w:t>
      </w:r>
      <w:r w:rsidR="002D26CA">
        <w:t>, as well as the</w:t>
      </w:r>
      <w:r w:rsidR="00645CF7">
        <w:t xml:space="preserve"> United States and Pennsylvania </w:t>
      </w:r>
      <w:r w:rsidR="002D26CA">
        <w:t>Constitutions,</w:t>
      </w:r>
      <w:r w:rsidR="00645CF7">
        <w:t xml:space="preserve"> all </w:t>
      </w:r>
      <w:r w:rsidR="001C6C47">
        <w:t>require that</w:t>
      </w:r>
      <w:r w:rsidR="00645CF7">
        <w:t xml:space="preserve"> the Court </w:t>
      </w:r>
      <w:r w:rsidR="001C6C47">
        <w:t>allow</w:t>
      </w:r>
      <w:r w:rsidR="00645CF7">
        <w:t xml:space="preserve"> Mr. Doe</w:t>
      </w:r>
      <w:r w:rsidR="001C6C47">
        <w:t xml:space="preserve"> to proceed</w:t>
      </w:r>
      <w:r w:rsidR="00645CF7">
        <w:t xml:space="preserve"> IFP </w:t>
      </w:r>
      <w:r w:rsidR="001C6C47">
        <w:t xml:space="preserve">in light of </w:t>
      </w:r>
      <w:r w:rsidR="001C6C47" w:rsidRPr="005C32AC">
        <w:rPr>
          <w:color w:val="FF0000"/>
        </w:rPr>
        <w:t xml:space="preserve">his </w:t>
      </w:r>
      <w:r w:rsidR="001C6C47">
        <w:t>inability to pay the filing fee in this matter.</w:t>
      </w:r>
    </w:p>
    <w:p w14:paraId="707E49B5" w14:textId="76403DF0" w:rsidR="00BE79EB" w:rsidRDefault="00086041" w:rsidP="00277E32">
      <w:pPr>
        <w:pStyle w:val="ListParagraph"/>
        <w:numPr>
          <w:ilvl w:val="0"/>
          <w:numId w:val="3"/>
        </w:numPr>
        <w:rPr>
          <w:b/>
        </w:rPr>
      </w:pPr>
      <w:r w:rsidRPr="00493895">
        <w:rPr>
          <w:b/>
        </w:rPr>
        <w:t>Pennsylvania c</w:t>
      </w:r>
      <w:r w:rsidR="005535B0" w:rsidRPr="00493895">
        <w:rPr>
          <w:b/>
        </w:rPr>
        <w:t>ommon law requires</w:t>
      </w:r>
      <w:r w:rsidR="00FA039A">
        <w:rPr>
          <w:b/>
        </w:rPr>
        <w:t xml:space="preserve"> that</w:t>
      </w:r>
      <w:r w:rsidR="00631254">
        <w:rPr>
          <w:b/>
        </w:rPr>
        <w:t xml:space="preserve"> this Court permit </w:t>
      </w:r>
      <w:r w:rsidR="00631254">
        <w:rPr>
          <w:b/>
          <w:color w:val="FF0000"/>
        </w:rPr>
        <w:t>Mr. Doe</w:t>
      </w:r>
      <w:r w:rsidR="00FA039A">
        <w:rPr>
          <w:b/>
        </w:rPr>
        <w:t xml:space="preserve"> </w:t>
      </w:r>
      <w:r w:rsidR="005535B0" w:rsidRPr="00493895">
        <w:rPr>
          <w:b/>
        </w:rPr>
        <w:t xml:space="preserve">to proceed </w:t>
      </w:r>
      <w:r w:rsidR="005535B0" w:rsidRPr="0087235E">
        <w:rPr>
          <w:b/>
        </w:rPr>
        <w:t xml:space="preserve">in forma pauperis </w:t>
      </w:r>
      <w:r w:rsidR="00631254">
        <w:rPr>
          <w:b/>
        </w:rPr>
        <w:t xml:space="preserve">because </w:t>
      </w:r>
      <w:r w:rsidR="00631254" w:rsidRPr="00631254">
        <w:rPr>
          <w:b/>
          <w:color w:val="FF0000"/>
        </w:rPr>
        <w:t>he</w:t>
      </w:r>
      <w:r w:rsidR="005535B0" w:rsidRPr="00631254">
        <w:rPr>
          <w:b/>
          <w:color w:val="FF0000"/>
        </w:rPr>
        <w:t xml:space="preserve"> </w:t>
      </w:r>
      <w:r w:rsidR="005535B0" w:rsidRPr="00493895">
        <w:rPr>
          <w:b/>
        </w:rPr>
        <w:t xml:space="preserve">cannot afford to pay </w:t>
      </w:r>
      <w:r w:rsidR="00631254">
        <w:rPr>
          <w:b/>
        </w:rPr>
        <w:t>the filing fee</w:t>
      </w:r>
      <w:r w:rsidR="00FA039A">
        <w:rPr>
          <w:b/>
        </w:rPr>
        <w:t>.</w:t>
      </w:r>
    </w:p>
    <w:p w14:paraId="69479DC3" w14:textId="77777777" w:rsidR="00FA039A" w:rsidRPr="00493895" w:rsidRDefault="00FA039A" w:rsidP="00277E32">
      <w:pPr>
        <w:pStyle w:val="ListParagraph"/>
        <w:ind w:left="1080"/>
        <w:rPr>
          <w:b/>
        </w:rPr>
      </w:pPr>
    </w:p>
    <w:p w14:paraId="7D94B01F" w14:textId="542C1467" w:rsidR="00E66B20" w:rsidRDefault="003E26A4" w:rsidP="00514C2D">
      <w:pPr>
        <w:spacing w:line="480" w:lineRule="auto"/>
        <w:ind w:firstLine="720"/>
      </w:pPr>
      <w:r>
        <w:t xml:space="preserve">Since Pennsylvania’s founding, the common law has allowed indigent individuals to proceed </w:t>
      </w:r>
      <w:r w:rsidR="001C6C47">
        <w:t>IFP</w:t>
      </w:r>
      <w:r w:rsidR="005C4ACF">
        <w:t xml:space="preserve"> </w:t>
      </w:r>
      <w:r>
        <w:t>without paying filing fees or the costs of litigation</w:t>
      </w:r>
      <w:r w:rsidR="00514C2D">
        <w:t xml:space="preserve"> in both civil and criminal cases</w:t>
      </w:r>
      <w:r>
        <w:t xml:space="preserve">. </w:t>
      </w:r>
      <w:r w:rsidR="000366B7">
        <w:t>To this day, no statutory scheme has abrogated this common law right.</w:t>
      </w:r>
      <w:r w:rsidR="00514C2D">
        <w:t xml:space="preserve"> As a result, </w:t>
      </w:r>
      <w:r w:rsidR="00514C2D" w:rsidRPr="00DB415C">
        <w:rPr>
          <w:color w:val="FF0000"/>
        </w:rPr>
        <w:t xml:space="preserve">Mr. Doe </w:t>
      </w:r>
      <w:r w:rsidR="00514C2D">
        <w:t>is entitled to proceed IFP.</w:t>
      </w:r>
    </w:p>
    <w:p w14:paraId="5F437908" w14:textId="78E3F28B" w:rsidR="00764548" w:rsidRDefault="003E26A4" w:rsidP="008B6DBB">
      <w:pPr>
        <w:spacing w:line="480" w:lineRule="auto"/>
        <w:ind w:firstLine="720"/>
      </w:pPr>
      <w:r>
        <w:lastRenderedPageBreak/>
        <w:t xml:space="preserve">This common law right dates to </w:t>
      </w:r>
      <w:r w:rsidR="0082440F">
        <w:t xml:space="preserve">the Statute </w:t>
      </w:r>
      <w:r>
        <w:t>of 11 Henry VII,</w:t>
      </w:r>
      <w:r w:rsidR="00F235D7">
        <w:t xml:space="preserve"> </w:t>
      </w:r>
      <w:r w:rsidR="002D26CA">
        <w:t>c</w:t>
      </w:r>
      <w:r w:rsidR="00F235D7">
        <w:t>. 12,</w:t>
      </w:r>
      <w:r>
        <w:t xml:space="preserve"> which is </w:t>
      </w:r>
      <w:r w:rsidR="008501A8">
        <w:t xml:space="preserve">“a part of the common law of </w:t>
      </w:r>
      <w:r w:rsidR="004E047E">
        <w:t>Pennsylvania and applies to relief in forma pauperis on appeal as well as in initial suit[.]”</w:t>
      </w:r>
      <w:r w:rsidRPr="008B6DBB">
        <w:rPr>
          <w:i/>
        </w:rPr>
        <w:t>Mitek v. Stel-Mel Signs, Inc.</w:t>
      </w:r>
      <w:r>
        <w:t>, 294 A.2d 814,</w:t>
      </w:r>
      <w:r w:rsidRPr="00493895">
        <w:t xml:space="preserve"> 814 (Pa. Super. Ct. 1972)</w:t>
      </w:r>
      <w:r>
        <w:t xml:space="preserve"> (en banc).</w:t>
      </w:r>
      <w:r w:rsidR="007C0396">
        <w:t xml:space="preserve"> </w:t>
      </w:r>
      <w:r w:rsidR="00AA2C42" w:rsidRPr="008B6DBB">
        <w:rPr>
          <w:i/>
        </w:rPr>
        <w:t>See also Thompson v. Garden Court</w:t>
      </w:r>
      <w:r w:rsidR="00AA2C42" w:rsidRPr="00493895">
        <w:t>, 419 A.2d 1238</w:t>
      </w:r>
      <w:r w:rsidR="00AA2C42">
        <w:t>, 1240</w:t>
      </w:r>
      <w:r w:rsidR="00AA2C42" w:rsidRPr="00493895">
        <w:t xml:space="preserve"> (Pa. Super. Ct. 1980)</w:t>
      </w:r>
      <w:r w:rsidR="00AA2C42">
        <w:t xml:space="preserve"> (</w:t>
      </w:r>
      <w:r w:rsidR="00E1285D">
        <w:t>holding that</w:t>
      </w:r>
      <w:r w:rsidR="00F82A2D" w:rsidRPr="00493895">
        <w:t xml:space="preserve"> the plaintiff </w:t>
      </w:r>
      <w:r w:rsidR="00F82A2D">
        <w:t>was entitled to</w:t>
      </w:r>
      <w:r w:rsidR="00AD40BF">
        <w:t xml:space="preserve"> file a trespass and assumpsit complaint </w:t>
      </w:r>
      <w:r w:rsidR="00F82A2D" w:rsidRPr="00493895">
        <w:t>IFP pursuant to the Statute of 11 Henry VII</w:t>
      </w:r>
      <w:r w:rsidR="00972DB5">
        <w:t xml:space="preserve">); </w:t>
      </w:r>
      <w:r w:rsidR="00972DB5" w:rsidRPr="008B6DBB">
        <w:rPr>
          <w:i/>
        </w:rPr>
        <w:t>Madden v. City of New York</w:t>
      </w:r>
      <w:r w:rsidR="00972DB5">
        <w:t>, 59 Pa. D. &amp; C.2d 367, 370 (</w:t>
      </w:r>
      <w:r w:rsidR="00972DB5" w:rsidRPr="008B6DBB">
        <w:rPr>
          <w:rFonts w:ascii="Times" w:eastAsia="Times New Roman" w:hAnsi="Times"/>
          <w:color w:val="212121"/>
        </w:rPr>
        <w:t>Pa. Ct. Com. Pl. 1972) (</w:t>
      </w:r>
      <w:r w:rsidR="001C6C47" w:rsidRPr="00493895">
        <w:t>Statute of 11 Henry VII</w:t>
      </w:r>
      <w:r w:rsidR="00972DB5" w:rsidRPr="008B6DBB">
        <w:rPr>
          <w:rFonts w:ascii="Times" w:eastAsia="Times New Roman" w:hAnsi="Times"/>
          <w:color w:val="212121"/>
        </w:rPr>
        <w:t xml:space="preserve">, part of the </w:t>
      </w:r>
      <w:r w:rsidR="009322ED">
        <w:rPr>
          <w:rFonts w:ascii="Times" w:eastAsia="Times New Roman" w:hAnsi="Times"/>
          <w:color w:val="212121"/>
        </w:rPr>
        <w:t xml:space="preserve">Pennsylvania </w:t>
      </w:r>
      <w:r w:rsidR="00972DB5" w:rsidRPr="008B6DBB">
        <w:rPr>
          <w:rFonts w:ascii="Times" w:eastAsia="Times New Roman" w:hAnsi="Times"/>
          <w:color w:val="212121"/>
        </w:rPr>
        <w:t xml:space="preserve">common law, remains in effect and allows indigent litigants to initiate suit without payment). </w:t>
      </w:r>
      <w:r>
        <w:t>As the Superior Court has recognized</w:t>
      </w:r>
      <w:r w:rsidR="00FA039A" w:rsidRPr="00493895">
        <w:t>,</w:t>
      </w:r>
      <w:r w:rsidR="00514C2D">
        <w:t xml:space="preserve"> the common law ensures that</w:t>
      </w:r>
      <w:r>
        <w:t xml:space="preserve"> an indigent individual</w:t>
      </w:r>
      <w:r w:rsidR="00FA039A" w:rsidRPr="00493895">
        <w:t xml:space="preserve"> “still has the right to prosecute his suit free from costs,” because “no person should have right and justice denied or</w:t>
      </w:r>
      <w:r w:rsidR="00956611">
        <w:t xml:space="preserve"> delayed by reason of poverty.”</w:t>
      </w:r>
      <w:r w:rsidR="00FA039A">
        <w:t xml:space="preserve"> </w:t>
      </w:r>
      <w:r w:rsidR="00096236" w:rsidRPr="008B6DBB">
        <w:rPr>
          <w:i/>
        </w:rPr>
        <w:t>Thompson</w:t>
      </w:r>
      <w:r w:rsidR="00096236">
        <w:t xml:space="preserve">, </w:t>
      </w:r>
      <w:r w:rsidR="005D2513">
        <w:t xml:space="preserve">419 A.2d at 1240. </w:t>
      </w:r>
      <w:r w:rsidR="005D2513" w:rsidRPr="008B6DBB">
        <w:rPr>
          <w:i/>
        </w:rPr>
        <w:t>See also Koziatek v. Marquett</w:t>
      </w:r>
      <w:r w:rsidR="005D2513">
        <w:t>, 484 A.2d 806, 808 (Pa. Super. Ct. 1984) (a litigant who “</w:t>
      </w:r>
      <w:r w:rsidR="005D2513" w:rsidRPr="005D2513">
        <w:t>proves that he is indeed in poverty</w:t>
      </w:r>
      <w:r w:rsidR="005D2513">
        <w:t xml:space="preserve"> . . . </w:t>
      </w:r>
      <w:r w:rsidR="005D2513" w:rsidRPr="005D2513">
        <w:t>enjoys a common law rig</w:t>
      </w:r>
      <w:r w:rsidR="005D2513">
        <w:t xml:space="preserve">ht to proceed in forma pauperis”). </w:t>
      </w:r>
      <w:r w:rsidR="005C4ACF">
        <w:t xml:space="preserve">Defendants in criminal cases have the same </w:t>
      </w:r>
      <w:r w:rsidR="00514C2D">
        <w:t xml:space="preserve">common law </w:t>
      </w:r>
      <w:r w:rsidR="005C4ACF">
        <w:t xml:space="preserve">right to proceed IFP </w:t>
      </w:r>
      <w:r w:rsidR="00514C2D">
        <w:t>to waive</w:t>
      </w:r>
      <w:r w:rsidR="00E6459F">
        <w:t xml:space="preserve"> “fees and costs in the context of a criminal case.” </w:t>
      </w:r>
      <w:r w:rsidR="00E6459F" w:rsidRPr="008B6DBB">
        <w:rPr>
          <w:i/>
        </w:rPr>
        <w:t>Commonwealth v. Lepre</w:t>
      </w:r>
      <w:r w:rsidR="00E6459F">
        <w:t>, 18 A.3d 1225, 1226 (Pa. Super. Ct. 2011) (trial court abused discretion by failing to hold ability-to-pay hearing after prima facie showing of poverty)</w:t>
      </w:r>
      <w:r w:rsidR="00952082">
        <w:t xml:space="preserve">; </w:t>
      </w:r>
      <w:r w:rsidR="00952082" w:rsidRPr="008B6DBB">
        <w:rPr>
          <w:i/>
        </w:rPr>
        <w:t>Commonwealth v. Regan</w:t>
      </w:r>
      <w:r w:rsidR="00952082">
        <w:t>,</w:t>
      </w:r>
      <w:r w:rsidR="00952082" w:rsidRPr="008B6DBB">
        <w:rPr>
          <w:i/>
        </w:rPr>
        <w:t xml:space="preserve"> </w:t>
      </w:r>
      <w:r w:rsidR="00952082" w:rsidRPr="00493895">
        <w:t xml:space="preserve">359 A.2d </w:t>
      </w:r>
      <w:r w:rsidR="00952082">
        <w:t>403, 406 (Pa. Super. Ct. 1976) (en banc) (criminal defendant “</w:t>
      </w:r>
      <w:r w:rsidR="00952082" w:rsidRPr="00952082">
        <w:t>must be permitted to appeal in forma pauperis if he is in fact indigent</w:t>
      </w:r>
      <w:r w:rsidR="00350CC9">
        <w:t>”)</w:t>
      </w:r>
      <w:r w:rsidR="0087235E">
        <w:t>.</w:t>
      </w:r>
      <w:r w:rsidR="00E6459F">
        <w:t xml:space="preserve"> </w:t>
      </w:r>
    </w:p>
    <w:p w14:paraId="56A87EBC" w14:textId="1AFF8F4B" w:rsidR="006443BA" w:rsidRDefault="0087235E" w:rsidP="008B6DBB">
      <w:pPr>
        <w:spacing w:line="480" w:lineRule="auto"/>
        <w:ind w:firstLine="720"/>
      </w:pPr>
      <w:r>
        <w:t>W</w:t>
      </w:r>
      <w:r w:rsidR="006443BA">
        <w:t xml:space="preserve">henever </w:t>
      </w:r>
      <w:r w:rsidR="00290D2F">
        <w:t>a statute is silent reg</w:t>
      </w:r>
      <w:r w:rsidR="006443BA">
        <w:t>arding the right to proceed IFP</w:t>
      </w:r>
      <w:r>
        <w:t>, the common law right applies</w:t>
      </w:r>
      <w:r w:rsidR="00290D2F">
        <w:t>.</w:t>
      </w:r>
      <w:r w:rsidR="00BB5618" w:rsidRPr="00493895">
        <w:t xml:space="preserve"> </w:t>
      </w:r>
      <w:r w:rsidR="00BB5618" w:rsidRPr="008B6DBB">
        <w:rPr>
          <w:i/>
        </w:rPr>
        <w:t>Mitek</w:t>
      </w:r>
      <w:r w:rsidR="00BB5618" w:rsidRPr="00493895">
        <w:t>, 294 A.2d at 814</w:t>
      </w:r>
      <w:r w:rsidR="00290D2F">
        <w:t xml:space="preserve"> (</w:t>
      </w:r>
      <w:r w:rsidR="00734E62">
        <w:t>resorting to the common law after determining that the statute in question did not prohibit an appeal IFP</w:t>
      </w:r>
      <w:r w:rsidR="00C9174A">
        <w:t>).</w:t>
      </w:r>
      <w:r w:rsidR="006443BA">
        <w:t xml:space="preserve"> If the legislature intends a different result, it “must affirmatively repeal existing law or specifically preempt accepted common law for prior law to be disregarded.” </w:t>
      </w:r>
      <w:r w:rsidR="006443BA" w:rsidRPr="008B6DBB">
        <w:rPr>
          <w:i/>
        </w:rPr>
        <w:t xml:space="preserve">Metropolitan Property and Liability Ins. Co. v. Insurance Com’r of Com. of </w:t>
      </w:r>
      <w:r w:rsidR="006443BA" w:rsidRPr="008B6DBB">
        <w:rPr>
          <w:i/>
        </w:rPr>
        <w:lastRenderedPageBreak/>
        <w:t>Pa.</w:t>
      </w:r>
      <w:r w:rsidR="006443BA">
        <w:t xml:space="preserve">, 580 A.2d 300, 302 (Pa. Super. Ct. 1990). Indeed, “statutes are not presumed to make changes in the rules and principles of the common law or prior existing law beyond what is expressly declared in their provisions.” </w:t>
      </w:r>
      <w:r w:rsidR="006443BA" w:rsidRPr="008B6DBB">
        <w:rPr>
          <w:i/>
        </w:rPr>
        <w:t>Commonwealth. v. Miller</w:t>
      </w:r>
      <w:r w:rsidR="006443BA">
        <w:t>, 364 A.2d 886, 887 (Pa. Sup</w:t>
      </w:r>
      <w:r w:rsidR="003205AB">
        <w:t>er</w:t>
      </w:r>
      <w:r w:rsidR="006443BA">
        <w:t xml:space="preserve">. Ct. 1976). </w:t>
      </w:r>
    </w:p>
    <w:p w14:paraId="43F8BC87" w14:textId="7029D51D" w:rsidR="00F6117E" w:rsidRPr="00493895" w:rsidRDefault="006443BA" w:rsidP="008B6DBB">
      <w:pPr>
        <w:spacing w:line="480" w:lineRule="auto"/>
        <w:ind w:firstLine="720"/>
      </w:pPr>
      <w:r>
        <w:t>Nothing in</w:t>
      </w:r>
      <w:r w:rsidR="00290D2F">
        <w:t xml:space="preserve"> </w:t>
      </w:r>
      <w:r w:rsidR="00032B54">
        <w:t xml:space="preserve">either </w:t>
      </w:r>
      <w:r w:rsidR="00704AE4">
        <w:t xml:space="preserve">the expungement statute, </w:t>
      </w:r>
      <w:r w:rsidR="00E7227C">
        <w:t xml:space="preserve">18 </w:t>
      </w:r>
      <w:r w:rsidR="00032B54">
        <w:t>Pa.C.S.</w:t>
      </w:r>
      <w:r w:rsidR="00E7227C">
        <w:t xml:space="preserve"> § 9122</w:t>
      </w:r>
      <w:r w:rsidR="00032B54">
        <w:t xml:space="preserve">, nor the statute imposing fees for expungements, </w:t>
      </w:r>
      <w:r w:rsidR="00514C2D">
        <w:t>42 Pa.C.S. § 1725.7</w:t>
      </w:r>
      <w:r w:rsidR="00704AE4">
        <w:t>,</w:t>
      </w:r>
      <w:r w:rsidR="00E7227C">
        <w:t xml:space="preserve"> </w:t>
      </w:r>
      <w:r>
        <w:t>addresses</w:t>
      </w:r>
      <w:r w:rsidR="00290D2F">
        <w:t xml:space="preserve"> IFP eligibility</w:t>
      </w:r>
      <w:r w:rsidR="00032B54">
        <w:t xml:space="preserve">. The statutes do </w:t>
      </w:r>
      <w:r w:rsidR="00504E06">
        <w:t>not purport</w:t>
      </w:r>
      <w:r>
        <w:t xml:space="preserve"> to prevent indigent individuals from filing expungement petitions IFP and without paying the filing fee. As a result, this Court must abide by the Superior Court’s binding interpretation of the common law and permit </w:t>
      </w:r>
      <w:r w:rsidRPr="005C32AC">
        <w:rPr>
          <w:color w:val="FF0000"/>
        </w:rPr>
        <w:t xml:space="preserve">Mr. </w:t>
      </w:r>
      <w:r w:rsidRPr="008B6DBB">
        <w:rPr>
          <w:color w:val="FF0000"/>
        </w:rPr>
        <w:t xml:space="preserve">Doe </w:t>
      </w:r>
      <w:r w:rsidR="00290D2F">
        <w:t xml:space="preserve">to proceed IFP without paying the filing cost. </w:t>
      </w:r>
      <w:r w:rsidR="00BB5618" w:rsidRPr="00493895">
        <w:t xml:space="preserve"> </w:t>
      </w:r>
    </w:p>
    <w:p w14:paraId="431DE0B4" w14:textId="05F2D91C" w:rsidR="00337BCD" w:rsidRDefault="00CF6107" w:rsidP="00277E32">
      <w:pPr>
        <w:pStyle w:val="ListParagraph"/>
        <w:numPr>
          <w:ilvl w:val="0"/>
          <w:numId w:val="3"/>
        </w:numPr>
        <w:rPr>
          <w:b/>
        </w:rPr>
      </w:pPr>
      <w:r w:rsidRPr="00493895">
        <w:rPr>
          <w:b/>
        </w:rPr>
        <w:t>When a state</w:t>
      </w:r>
      <w:r w:rsidR="00217EC5" w:rsidRPr="00493895">
        <w:rPr>
          <w:b/>
        </w:rPr>
        <w:t xml:space="preserve"> </w:t>
      </w:r>
      <w:r w:rsidR="006613F5" w:rsidRPr="00493895">
        <w:rPr>
          <w:b/>
        </w:rPr>
        <w:t xml:space="preserve">grants </w:t>
      </w:r>
      <w:r w:rsidRPr="00493895">
        <w:rPr>
          <w:b/>
        </w:rPr>
        <w:t>a statutory right</w:t>
      </w:r>
      <w:r w:rsidR="00354AF2" w:rsidRPr="00493895">
        <w:rPr>
          <w:b/>
        </w:rPr>
        <w:t xml:space="preserve"> to all</w:t>
      </w:r>
      <w:r w:rsidRPr="00493895">
        <w:rPr>
          <w:b/>
        </w:rPr>
        <w:t>, t</w:t>
      </w:r>
      <w:r w:rsidR="00ED2750" w:rsidRPr="00493895">
        <w:rPr>
          <w:b/>
        </w:rPr>
        <w:t xml:space="preserve">he </w:t>
      </w:r>
      <w:r w:rsidR="005535B0" w:rsidRPr="00493895">
        <w:rPr>
          <w:b/>
        </w:rPr>
        <w:t>Due Process</w:t>
      </w:r>
      <w:r w:rsidR="00ED2750" w:rsidRPr="00493895">
        <w:rPr>
          <w:b/>
        </w:rPr>
        <w:t xml:space="preserve"> </w:t>
      </w:r>
      <w:r w:rsidR="006769D2" w:rsidRPr="00493895">
        <w:rPr>
          <w:b/>
        </w:rPr>
        <w:t>and Equal Protection Clauses</w:t>
      </w:r>
      <w:r w:rsidR="00ED2750" w:rsidRPr="00493895">
        <w:rPr>
          <w:b/>
        </w:rPr>
        <w:t xml:space="preserve"> of</w:t>
      </w:r>
      <w:r w:rsidR="005535B0" w:rsidRPr="00493895">
        <w:rPr>
          <w:b/>
        </w:rPr>
        <w:t xml:space="preserve"> the Fourteenth Amendment </w:t>
      </w:r>
      <w:r w:rsidRPr="00493895">
        <w:rPr>
          <w:b/>
        </w:rPr>
        <w:t>prohibit the</w:t>
      </w:r>
      <w:r w:rsidR="0064131A" w:rsidRPr="00493895">
        <w:rPr>
          <w:b/>
        </w:rPr>
        <w:t xml:space="preserve"> state from discriminating </w:t>
      </w:r>
      <w:r w:rsidR="00DE4FB4" w:rsidRPr="00493895">
        <w:rPr>
          <w:b/>
        </w:rPr>
        <w:t>on account of poverty</w:t>
      </w:r>
      <w:r w:rsidR="000B322A">
        <w:rPr>
          <w:b/>
        </w:rPr>
        <w:t>.</w:t>
      </w:r>
      <w:r w:rsidR="00416819" w:rsidRPr="00493895">
        <w:rPr>
          <w:b/>
        </w:rPr>
        <w:t xml:space="preserve"> </w:t>
      </w:r>
    </w:p>
    <w:p w14:paraId="13F9ADDC" w14:textId="77777777" w:rsidR="00B77523" w:rsidRPr="00493895" w:rsidRDefault="00B77523" w:rsidP="00277E32">
      <w:pPr>
        <w:pStyle w:val="ListParagraph"/>
        <w:ind w:left="1080"/>
        <w:rPr>
          <w:b/>
        </w:rPr>
      </w:pPr>
    </w:p>
    <w:p w14:paraId="535195AF" w14:textId="7CA754AA" w:rsidR="00AE7DF5" w:rsidRDefault="00B77523" w:rsidP="008B6DBB">
      <w:pPr>
        <w:spacing w:line="480" w:lineRule="auto"/>
        <w:ind w:firstLine="720"/>
      </w:pPr>
      <w:r>
        <w:t xml:space="preserve">In addition to the common law right to proceed IFP, </w:t>
      </w:r>
      <w:r w:rsidRPr="008B6DBB">
        <w:rPr>
          <w:color w:val="FF0000"/>
        </w:rPr>
        <w:t xml:space="preserve">Mr. Doe </w:t>
      </w:r>
      <w:r>
        <w:t>also has a right</w:t>
      </w:r>
      <w:r w:rsidR="00B87DB1">
        <w:t xml:space="preserve"> under the Fourteenth Amendment to the United States Constitution</w:t>
      </w:r>
      <w:r>
        <w:t xml:space="preserve"> to have this filing fee waived. In enacting § </w:t>
      </w:r>
      <w:r w:rsidR="00E7227C">
        <w:t>9122</w:t>
      </w:r>
      <w:r>
        <w:t xml:space="preserve">, Pennsylvania has created a statutory right to </w:t>
      </w:r>
      <w:r w:rsidR="008B3F65">
        <w:t>an expungement under certain circumstances</w:t>
      </w:r>
      <w:r w:rsidR="00AE7DF5">
        <w:t>, and defendants cannot be denied access to that right merely because of their poverty</w:t>
      </w:r>
      <w:r w:rsidR="008B3F65">
        <w:t>.</w:t>
      </w:r>
    </w:p>
    <w:p w14:paraId="575C3B81" w14:textId="121DAA30" w:rsidR="007935C1" w:rsidRDefault="008B3F65" w:rsidP="008B6DBB">
      <w:pPr>
        <w:spacing w:line="480" w:lineRule="auto"/>
        <w:ind w:firstLine="720"/>
      </w:pPr>
      <w:r>
        <w:t>In</w:t>
      </w:r>
      <w:r w:rsidR="00B12444">
        <w:t xml:space="preserve"> the seminal case</w:t>
      </w:r>
      <w:r>
        <w:t xml:space="preserve"> </w:t>
      </w:r>
      <w:r w:rsidR="00B12444" w:rsidRPr="008B6DBB">
        <w:rPr>
          <w:i/>
        </w:rPr>
        <w:t>Griffin v. Illinois</w:t>
      </w:r>
      <w:r w:rsidR="00B12444" w:rsidRPr="00493895">
        <w:t>,</w:t>
      </w:r>
      <w:r>
        <w:t xml:space="preserve"> </w:t>
      </w:r>
      <w:r w:rsidR="00A50C73" w:rsidRPr="00493895">
        <w:t>351 U.S. 12, 18 (1956)</w:t>
      </w:r>
      <w:r w:rsidR="000B322A">
        <w:t>,</w:t>
      </w:r>
      <w:r w:rsidR="00A50C73">
        <w:t xml:space="preserve"> </w:t>
      </w:r>
      <w:r>
        <w:t xml:space="preserve">the United States Supreme Court invalidated </w:t>
      </w:r>
      <w:r w:rsidR="00A50C73">
        <w:t>an Illinois practice</w:t>
      </w:r>
      <w:r>
        <w:t xml:space="preserve"> that required defendants to pay for the costs of</w:t>
      </w:r>
      <w:r w:rsidR="007A3914">
        <w:t xml:space="preserve"> producing</w:t>
      </w:r>
      <w:r>
        <w:t xml:space="preserve"> a transcript in order to pursue an appeal.</w:t>
      </w:r>
      <w:r w:rsidR="00A50C73">
        <w:t xml:space="preserve"> Although the Court recognized that states do not have to provide an avenue for appeal, when a state creates </w:t>
      </w:r>
      <w:r w:rsidR="00384356">
        <w:t xml:space="preserve">such </w:t>
      </w:r>
      <w:r w:rsidR="00A50C73">
        <w:t xml:space="preserve">a right </w:t>
      </w:r>
      <w:r w:rsidR="008F2DEF" w:rsidRPr="00493895">
        <w:t>it cannot do so “in a way that discriminates against some convicted defendant</w:t>
      </w:r>
      <w:r w:rsidR="00AE7DF5">
        <w:t>s on account of their poverty.”</w:t>
      </w:r>
      <w:r w:rsidR="008F2DEF" w:rsidRPr="00493895">
        <w:t xml:space="preserve"> </w:t>
      </w:r>
      <w:r w:rsidR="00AE7DF5" w:rsidRPr="008B6DBB">
        <w:rPr>
          <w:i/>
        </w:rPr>
        <w:t>Id</w:t>
      </w:r>
      <w:r w:rsidR="008F2DEF" w:rsidRPr="00493895">
        <w:t>.</w:t>
      </w:r>
      <w:r w:rsidR="00AE7DF5">
        <w:t xml:space="preserve"> Such wealth-based access constitutes </w:t>
      </w:r>
      <w:r w:rsidR="00AE7DF5" w:rsidRPr="00493895">
        <w:t>“invidious discrimination”</w:t>
      </w:r>
      <w:r w:rsidR="00AE7DF5">
        <w:t xml:space="preserve"> in violation of the </w:t>
      </w:r>
      <w:r w:rsidR="00CF4700" w:rsidRPr="00493895">
        <w:t>Due Process and Equal Protection clauses</w:t>
      </w:r>
      <w:r w:rsidR="00AE7DF5">
        <w:t>.</w:t>
      </w:r>
      <w:r w:rsidR="00CF4700" w:rsidRPr="00493895">
        <w:t xml:space="preserve"> </w:t>
      </w:r>
      <w:r w:rsidR="005C2214" w:rsidRPr="008B6DBB">
        <w:rPr>
          <w:i/>
        </w:rPr>
        <w:t>Id.</w:t>
      </w:r>
      <w:r w:rsidR="005C2214" w:rsidRPr="00493895">
        <w:t xml:space="preserve"> </w:t>
      </w:r>
      <w:r w:rsidR="000D3D0F" w:rsidRPr="00493895">
        <w:t>at 18</w:t>
      </w:r>
      <w:r w:rsidR="00902D26" w:rsidRPr="00493895">
        <w:t>-19</w:t>
      </w:r>
      <w:r w:rsidR="000D3D0F" w:rsidRPr="00493895">
        <w:t>.</w:t>
      </w:r>
      <w:r w:rsidR="00C408E2" w:rsidRPr="00493895">
        <w:t xml:space="preserve"> </w:t>
      </w:r>
    </w:p>
    <w:p w14:paraId="29DD6DF6" w14:textId="6FD8337B" w:rsidR="000F4F4E" w:rsidRDefault="000F4F4E" w:rsidP="008B6DBB">
      <w:pPr>
        <w:spacing w:line="480" w:lineRule="auto"/>
        <w:ind w:firstLine="720"/>
      </w:pPr>
      <w:r>
        <w:lastRenderedPageBreak/>
        <w:t xml:space="preserve">Pennsylvania </w:t>
      </w:r>
      <w:r w:rsidR="000941AF">
        <w:t>c</w:t>
      </w:r>
      <w:r>
        <w:t xml:space="preserve">ourts have </w:t>
      </w:r>
      <w:r w:rsidR="00952082">
        <w:t xml:space="preserve">applied </w:t>
      </w:r>
      <w:r w:rsidR="005C32AC">
        <w:t xml:space="preserve">the principle from </w:t>
      </w:r>
      <w:r w:rsidR="005C32AC">
        <w:rPr>
          <w:i/>
        </w:rPr>
        <w:t>Griffin</w:t>
      </w:r>
      <w:r w:rsidR="005C32AC">
        <w:t xml:space="preserve"> to state-created right in the Commonwealth. </w:t>
      </w:r>
      <w:r w:rsidR="00952082">
        <w:t>For example</w:t>
      </w:r>
      <w:r>
        <w:t xml:space="preserve">, with our Supreme Court </w:t>
      </w:r>
      <w:r w:rsidR="00952082">
        <w:t>has ruled that</w:t>
      </w:r>
      <w:r w:rsidRPr="00493895">
        <w:t xml:space="preserve"> “where a State provides appellate review of criminal convictions as of right, it may not afford such review to indigents on terms less favorable than those afforded nonindigents.” </w:t>
      </w:r>
      <w:r w:rsidR="008B3B89" w:rsidRPr="008B6DBB">
        <w:rPr>
          <w:i/>
        </w:rPr>
        <w:t>Commonwealth</w:t>
      </w:r>
      <w:r w:rsidRPr="008B6DBB">
        <w:rPr>
          <w:i/>
        </w:rPr>
        <w:t xml:space="preserve"> ex rel. Robinson v. Myers</w:t>
      </w:r>
      <w:r w:rsidRPr="00493895">
        <w:t xml:space="preserve">, 215 A.2d 637, 639 (1966) (citing </w:t>
      </w:r>
      <w:r w:rsidRPr="008B6DBB">
        <w:rPr>
          <w:i/>
        </w:rPr>
        <w:t>Griffin</w:t>
      </w:r>
      <w:r w:rsidRPr="00493895">
        <w:t>).</w:t>
      </w:r>
      <w:r w:rsidR="00613D50">
        <w:t xml:space="preserve"> </w:t>
      </w:r>
      <w:r w:rsidR="00F051F1">
        <w:t>Following that reasoning, the Superior Court invalidated</w:t>
      </w:r>
      <w:r w:rsidR="00613D50">
        <w:t xml:space="preserve"> a local court practice that required that defendants pay fines and costs prior to appeal </w:t>
      </w:r>
      <w:r w:rsidR="000711F5">
        <w:t>as</w:t>
      </w:r>
      <w:r w:rsidRPr="00493895">
        <w:t xml:space="preserve"> “an unconstitutional denial of due process and equal protection.”</w:t>
      </w:r>
      <w:r w:rsidR="00F80668">
        <w:t xml:space="preserve"> </w:t>
      </w:r>
      <w:r w:rsidR="001C1F08" w:rsidRPr="008B6DBB">
        <w:rPr>
          <w:i/>
        </w:rPr>
        <w:t>Regan</w:t>
      </w:r>
      <w:r w:rsidR="001C1F08">
        <w:t>,</w:t>
      </w:r>
      <w:r w:rsidR="001C1F08" w:rsidRPr="008B6DBB">
        <w:rPr>
          <w:i/>
        </w:rPr>
        <w:t xml:space="preserve"> </w:t>
      </w:r>
      <w:r w:rsidRPr="00493895">
        <w:t xml:space="preserve">359 A.2d </w:t>
      </w:r>
      <w:r w:rsidR="00952082">
        <w:t>at</w:t>
      </w:r>
      <w:r w:rsidR="00613D50">
        <w:t xml:space="preserve"> </w:t>
      </w:r>
      <w:r w:rsidR="00C27F7B">
        <w:t xml:space="preserve">406. </w:t>
      </w:r>
      <w:r>
        <w:t>As the</w:t>
      </w:r>
      <w:r w:rsidR="00952082">
        <w:t xml:space="preserve"> en banc</w:t>
      </w:r>
      <w:r>
        <w:t xml:space="preserve"> court explained,</w:t>
      </w:r>
      <w:r w:rsidR="00952082">
        <w:t xml:space="preserve"> decisions from both the United States and Pennsylvania Supreme Courts prohibit the Commonwealth from preconditioning access to the courts on payments that poor individuals cannot afford. To do otherwise would deny “</w:t>
      </w:r>
      <w:r w:rsidRPr="000C45CB">
        <w:t>the rights of the indigent to due proces</w:t>
      </w:r>
      <w:r>
        <w:t>s and equal access to the courts</w:t>
      </w:r>
      <w:r w:rsidR="00952082">
        <w:t>.</w:t>
      </w:r>
      <w:r>
        <w:t>”</w:t>
      </w:r>
      <w:r w:rsidR="00952082">
        <w:t xml:space="preserve"> </w:t>
      </w:r>
      <w:r w:rsidRPr="008B6DBB">
        <w:rPr>
          <w:i/>
        </w:rPr>
        <w:t>Id</w:t>
      </w:r>
      <w:r>
        <w:t>.</w:t>
      </w:r>
      <w:r w:rsidR="00952082" w:rsidDel="00952082">
        <w:t xml:space="preserve"> </w:t>
      </w:r>
    </w:p>
    <w:p w14:paraId="610D2CCE" w14:textId="024171B7" w:rsidR="00E843DD" w:rsidRPr="007636DE" w:rsidRDefault="00032B54" w:rsidP="008B6DBB">
      <w:pPr>
        <w:spacing w:line="480" w:lineRule="auto"/>
        <w:ind w:firstLine="720"/>
      </w:pPr>
      <w:r>
        <w:t xml:space="preserve">The Superior Court has extended the </w:t>
      </w:r>
      <w:r>
        <w:rPr>
          <w:i/>
        </w:rPr>
        <w:t>Griffin</w:t>
      </w:r>
      <w:r>
        <w:t xml:space="preserve"> line of cases to another state-created right: Accelerated Rehabilitative Disposition (“ARD”). As that court has explained</w:t>
      </w:r>
      <w:r w:rsidR="007A3914">
        <w:t xml:space="preserve">, </w:t>
      </w:r>
      <w:r w:rsidR="005911CF">
        <w:t xml:space="preserve">the Fourteenth Amendment requires that </w:t>
      </w:r>
      <w:r w:rsidR="007A3914">
        <w:t xml:space="preserve">a trial court “consider alternative conditions for admittance to and completion of the ARD program” if the defendant “has no ability to pay” despite bona fide efforts to do so. </w:t>
      </w:r>
      <w:r w:rsidR="007A3914" w:rsidRPr="008B6DBB">
        <w:rPr>
          <w:i/>
        </w:rPr>
        <w:t>Commonwealth v. Melnyk</w:t>
      </w:r>
      <w:r w:rsidR="007A3914">
        <w:t xml:space="preserve">, 548 A.2d 266, 272 (Pa. Super. Ct. 1988). To do otherwise would “deprive the petitioner her interest in repaying her debt to society without receiving a criminal record simply because, through no fault of her own, she could not pay restitution. Such a deprivation would be contrary to the fundamental fairness required by the Fourteenth Amendment.” </w:t>
      </w:r>
      <w:r w:rsidR="007A3914" w:rsidRPr="008B6DBB">
        <w:rPr>
          <w:i/>
        </w:rPr>
        <w:t>Id</w:t>
      </w:r>
      <w:r w:rsidR="007A3914">
        <w:t>.</w:t>
      </w:r>
      <w:r w:rsidR="00E843DD">
        <w:t xml:space="preserve"> </w:t>
      </w:r>
      <w:r w:rsidR="007636DE">
        <w:t>These constitutional provisions require that the court waive otherwise “mandatory” costs associated with ARD, such as the Judici</w:t>
      </w:r>
      <w:r w:rsidR="00CA59D6">
        <w:t>al Computer Project fee (42 Pa.C.S.</w:t>
      </w:r>
      <w:r w:rsidR="007636DE" w:rsidRPr="007636DE">
        <w:t xml:space="preserve"> § 3733(a.1)</w:t>
      </w:r>
      <w:r w:rsidR="007636DE">
        <w:t xml:space="preserve">) and the </w:t>
      </w:r>
      <w:r w:rsidR="007636DE" w:rsidRPr="007636DE">
        <w:t>Firearms and Education Training Fund</w:t>
      </w:r>
      <w:r w:rsidR="007636DE">
        <w:t xml:space="preserve"> </w:t>
      </w:r>
      <w:r w:rsidR="00CA59D6">
        <w:t xml:space="preserve">(61 Pa.C.S. </w:t>
      </w:r>
      <w:r w:rsidR="007636DE" w:rsidRPr="007636DE">
        <w:t>§</w:t>
      </w:r>
      <w:r w:rsidR="00060E61">
        <w:t> </w:t>
      </w:r>
      <w:r w:rsidR="007636DE" w:rsidRPr="007636DE">
        <w:t>6308(b)(1)</w:t>
      </w:r>
      <w:r w:rsidR="00CA59D6">
        <w:t>)</w:t>
      </w:r>
      <w:r w:rsidR="00C43CF0">
        <w:t xml:space="preserve">, even though those </w:t>
      </w:r>
      <w:r w:rsidR="007636DE">
        <w:t xml:space="preserve">statutes do not themselves contain an indigence exception. </w:t>
      </w:r>
    </w:p>
    <w:p w14:paraId="2ED05076" w14:textId="2EA484DD" w:rsidR="000F4F4E" w:rsidRPr="00493895" w:rsidRDefault="00E843DD" w:rsidP="008B6DBB">
      <w:pPr>
        <w:spacing w:line="480" w:lineRule="auto"/>
        <w:ind w:firstLine="720"/>
      </w:pPr>
      <w:r>
        <w:lastRenderedPageBreak/>
        <w:t xml:space="preserve">As with ARD, § 9122 creates a right to be free from a criminal record. If this state-created right </w:t>
      </w:r>
      <w:r w:rsidR="00DA2896">
        <w:t xml:space="preserve">were reserved only for those who could pay </w:t>
      </w:r>
      <w:r>
        <w:t>the</w:t>
      </w:r>
      <w:r w:rsidR="000F4F4E" w:rsidRPr="008B6DBB">
        <w:rPr>
          <w:rFonts w:eastAsia="Times New Roman"/>
          <w:bCs/>
          <w:color w:val="000000" w:themeColor="text1"/>
          <w:shd w:val="clear" w:color="auto" w:fill="FFFFFF"/>
        </w:rPr>
        <w:t xml:space="preserve"> $132 filing fee</w:t>
      </w:r>
      <w:r w:rsidR="00DA2896">
        <w:rPr>
          <w:rFonts w:eastAsia="Times New Roman"/>
          <w:bCs/>
          <w:color w:val="000000" w:themeColor="text1"/>
          <w:shd w:val="clear" w:color="auto" w:fill="FFFFFF"/>
        </w:rPr>
        <w:t>,</w:t>
      </w:r>
      <w:r w:rsidRPr="008B6DBB">
        <w:rPr>
          <w:rFonts w:eastAsia="Times New Roman"/>
          <w:bCs/>
          <w:color w:val="000000" w:themeColor="text1"/>
          <w:shd w:val="clear" w:color="auto" w:fill="FFFFFF"/>
        </w:rPr>
        <w:t xml:space="preserve"> </w:t>
      </w:r>
      <w:r w:rsidR="000F4F4E" w:rsidRPr="008B6DBB">
        <w:rPr>
          <w:rFonts w:eastAsia="Times New Roman"/>
          <w:bCs/>
          <w:color w:val="000000" w:themeColor="text1"/>
          <w:shd w:val="clear" w:color="auto" w:fill="FFFFFF"/>
        </w:rPr>
        <w:t xml:space="preserve">it would deny </w:t>
      </w:r>
      <w:r w:rsidR="00DA2896">
        <w:rPr>
          <w:rFonts w:eastAsia="Times New Roman"/>
          <w:bCs/>
          <w:color w:val="000000" w:themeColor="text1"/>
          <w:shd w:val="clear" w:color="auto" w:fill="FFFFFF"/>
        </w:rPr>
        <w:t xml:space="preserve">indigent </w:t>
      </w:r>
      <w:r w:rsidR="000F4F4E" w:rsidRPr="008B6DBB">
        <w:rPr>
          <w:rFonts w:eastAsia="Times New Roman"/>
          <w:bCs/>
          <w:color w:val="000000" w:themeColor="text1"/>
          <w:shd w:val="clear" w:color="auto" w:fill="FFFFFF"/>
        </w:rPr>
        <w:t xml:space="preserve">individuals access to that right, which would violate the Due Process and Equal Protection Clauses of the Fourteenth Amendment. </w:t>
      </w:r>
      <w:r w:rsidRPr="008B6DBB">
        <w:rPr>
          <w:rFonts w:eastAsia="Times New Roman"/>
          <w:bCs/>
          <w:color w:val="000000" w:themeColor="text1"/>
          <w:shd w:val="clear" w:color="auto" w:fill="FFFFFF"/>
        </w:rPr>
        <w:t>Because s</w:t>
      </w:r>
      <w:r w:rsidR="000F4F4E" w:rsidRPr="008B6DBB">
        <w:rPr>
          <w:rFonts w:eastAsia="Times New Roman"/>
          <w:bCs/>
          <w:color w:val="000000" w:themeColor="text1"/>
          <w:shd w:val="clear" w:color="auto" w:fill="FFFFFF"/>
        </w:rPr>
        <w:t>tatut</w:t>
      </w:r>
      <w:r w:rsidR="00D02DFF" w:rsidRPr="008B6DBB">
        <w:rPr>
          <w:rFonts w:eastAsia="Times New Roman"/>
          <w:bCs/>
          <w:color w:val="000000" w:themeColor="text1"/>
          <w:shd w:val="clear" w:color="auto" w:fill="FFFFFF"/>
        </w:rPr>
        <w:t>es are presumed constitutional</w:t>
      </w:r>
      <w:r w:rsidRPr="008B6DBB">
        <w:rPr>
          <w:rFonts w:eastAsia="Times New Roman"/>
          <w:bCs/>
          <w:color w:val="000000" w:themeColor="text1"/>
          <w:shd w:val="clear" w:color="auto" w:fill="FFFFFF"/>
        </w:rPr>
        <w:t xml:space="preserve"> and courts have a “duty … in construing [a] statute to give it, if possible, an interpretation which will prevent any conflict with the Constitution,” </w:t>
      </w:r>
      <w:r w:rsidR="00C6339B" w:rsidRPr="008B6DBB">
        <w:rPr>
          <w:rFonts w:eastAsia="Times New Roman"/>
          <w:bCs/>
          <w:i/>
          <w:color w:val="000000" w:themeColor="text1"/>
          <w:shd w:val="clear" w:color="auto" w:fill="FFFFFF"/>
        </w:rPr>
        <w:t>Hotel Casey Co. v. Ross</w:t>
      </w:r>
      <w:r w:rsidR="00C6339B" w:rsidRPr="008B6DBB">
        <w:rPr>
          <w:rFonts w:eastAsia="Times New Roman"/>
          <w:bCs/>
          <w:color w:val="000000" w:themeColor="text1"/>
          <w:shd w:val="clear" w:color="auto" w:fill="FFFFFF"/>
        </w:rPr>
        <w:t>, 23 A.2d 737, 740 (Pa. 1942)</w:t>
      </w:r>
      <w:r w:rsidR="00C6339B">
        <w:rPr>
          <w:rFonts w:eastAsia="Times New Roman"/>
          <w:bCs/>
          <w:color w:val="000000" w:themeColor="text1"/>
          <w:shd w:val="clear" w:color="auto" w:fill="FFFFFF"/>
        </w:rPr>
        <w:t xml:space="preserve">, </w:t>
      </w:r>
      <w:r w:rsidRPr="008B6DBB">
        <w:rPr>
          <w:rFonts w:eastAsia="Times New Roman"/>
          <w:bCs/>
          <w:color w:val="000000" w:themeColor="text1"/>
          <w:shd w:val="clear" w:color="auto" w:fill="FFFFFF"/>
        </w:rPr>
        <w:t xml:space="preserve">this Court must </w:t>
      </w:r>
      <w:r w:rsidR="00DA2896">
        <w:rPr>
          <w:rFonts w:eastAsia="Times New Roman"/>
          <w:bCs/>
          <w:color w:val="000000" w:themeColor="text1"/>
          <w:shd w:val="clear" w:color="auto" w:fill="FFFFFF"/>
        </w:rPr>
        <w:t xml:space="preserve">construe </w:t>
      </w:r>
      <w:r w:rsidR="00BC671D">
        <w:t>18 Pa.C.S. §</w:t>
      </w:r>
      <w:r w:rsidR="005911CF">
        <w:t> </w:t>
      </w:r>
      <w:r w:rsidR="00BC671D">
        <w:t>9122 and 42 Pa.C.S. § 1725.7</w:t>
      </w:r>
      <w:r w:rsidR="00DA2896">
        <w:rPr>
          <w:rFonts w:eastAsia="Times New Roman"/>
          <w:bCs/>
          <w:color w:val="000000" w:themeColor="text1"/>
          <w:shd w:val="clear" w:color="auto" w:fill="FFFFFF"/>
        </w:rPr>
        <w:t xml:space="preserve">as </w:t>
      </w:r>
      <w:r w:rsidRPr="008B6DBB">
        <w:rPr>
          <w:rFonts w:eastAsia="Times New Roman"/>
          <w:bCs/>
          <w:color w:val="000000" w:themeColor="text1"/>
          <w:shd w:val="clear" w:color="auto" w:fill="FFFFFF"/>
        </w:rPr>
        <w:t>allow</w:t>
      </w:r>
      <w:r w:rsidR="00DA2896">
        <w:rPr>
          <w:rFonts w:eastAsia="Times New Roman"/>
          <w:bCs/>
          <w:color w:val="000000" w:themeColor="text1"/>
          <w:shd w:val="clear" w:color="auto" w:fill="FFFFFF"/>
        </w:rPr>
        <w:t>ing</w:t>
      </w:r>
      <w:r w:rsidRPr="008B6DBB">
        <w:rPr>
          <w:rFonts w:eastAsia="Times New Roman"/>
          <w:bCs/>
          <w:color w:val="000000" w:themeColor="text1"/>
          <w:shd w:val="clear" w:color="auto" w:fill="FFFFFF"/>
        </w:rPr>
        <w:t xml:space="preserve"> </w:t>
      </w:r>
      <w:r w:rsidRPr="008B6DBB">
        <w:rPr>
          <w:rFonts w:eastAsia="Times New Roman"/>
          <w:bCs/>
          <w:color w:val="FF0000"/>
          <w:shd w:val="clear" w:color="auto" w:fill="FFFFFF"/>
        </w:rPr>
        <w:t xml:space="preserve">Mr. Doe </w:t>
      </w:r>
      <w:r w:rsidRPr="008B6DBB">
        <w:rPr>
          <w:rFonts w:eastAsia="Times New Roman"/>
          <w:bCs/>
          <w:color w:val="000000" w:themeColor="text1"/>
          <w:shd w:val="clear" w:color="auto" w:fill="FFFFFF"/>
        </w:rPr>
        <w:t xml:space="preserve">to seek IFP status as </w:t>
      </w:r>
      <w:r w:rsidR="00DA2896" w:rsidRPr="005C32AC">
        <w:rPr>
          <w:rFonts w:eastAsia="Times New Roman"/>
          <w:bCs/>
          <w:color w:val="FF0000"/>
          <w:shd w:val="clear" w:color="auto" w:fill="FFFFFF"/>
        </w:rPr>
        <w:t>he</w:t>
      </w:r>
      <w:r w:rsidR="00DA2896">
        <w:rPr>
          <w:rFonts w:eastAsia="Times New Roman"/>
          <w:bCs/>
          <w:color w:val="000000" w:themeColor="text1"/>
          <w:shd w:val="clear" w:color="auto" w:fill="FFFFFF"/>
        </w:rPr>
        <w:t xml:space="preserve"> could </w:t>
      </w:r>
      <w:r w:rsidRPr="008B6DBB">
        <w:rPr>
          <w:rFonts w:eastAsia="Times New Roman"/>
          <w:bCs/>
          <w:color w:val="000000" w:themeColor="text1"/>
          <w:shd w:val="clear" w:color="auto" w:fill="FFFFFF"/>
        </w:rPr>
        <w:t>in any other case</w:t>
      </w:r>
      <w:r w:rsidR="003A78B1">
        <w:rPr>
          <w:rFonts w:eastAsia="Times New Roman"/>
          <w:bCs/>
          <w:color w:val="000000" w:themeColor="text1"/>
          <w:shd w:val="clear" w:color="auto" w:fill="FFFFFF"/>
        </w:rPr>
        <w:t xml:space="preserve">. </w:t>
      </w:r>
      <w:r w:rsidR="00C6339B">
        <w:t xml:space="preserve">A “construction which is clearly constitutional is to be preferred to one that raises grave constitutional questions.” </w:t>
      </w:r>
      <w:r w:rsidR="003A78B1">
        <w:rPr>
          <w:rFonts w:eastAsia="Times New Roman"/>
          <w:bCs/>
          <w:i/>
          <w:color w:val="000000" w:themeColor="text1"/>
          <w:shd w:val="clear" w:color="auto" w:fill="FFFFFF"/>
        </w:rPr>
        <w:t>Regan</w:t>
      </w:r>
      <w:r w:rsidR="003A78B1">
        <w:rPr>
          <w:rFonts w:eastAsia="Times New Roman"/>
          <w:bCs/>
          <w:color w:val="000000" w:themeColor="text1"/>
          <w:shd w:val="clear" w:color="auto" w:fill="FFFFFF"/>
        </w:rPr>
        <w:t>, 359 A.2d at 406</w:t>
      </w:r>
      <w:r>
        <w:t xml:space="preserve">. </w:t>
      </w:r>
      <w:r w:rsidR="00D02DFF" w:rsidRPr="008B6DBB">
        <w:rPr>
          <w:rFonts w:eastAsia="Times New Roman"/>
          <w:bCs/>
          <w:color w:val="000000" w:themeColor="text1"/>
          <w:shd w:val="clear" w:color="auto" w:fill="FFFFFF"/>
        </w:rPr>
        <w:t xml:space="preserve"> </w:t>
      </w:r>
    </w:p>
    <w:p w14:paraId="08AB8681" w14:textId="462AE0A2" w:rsidR="000F4F4E" w:rsidRDefault="000F4F4E" w:rsidP="000F4F4E">
      <w:pPr>
        <w:pStyle w:val="ListParagraph"/>
        <w:numPr>
          <w:ilvl w:val="0"/>
          <w:numId w:val="3"/>
        </w:numPr>
        <w:rPr>
          <w:b/>
        </w:rPr>
      </w:pPr>
      <w:r w:rsidRPr="00493895">
        <w:rPr>
          <w:b/>
        </w:rPr>
        <w:t xml:space="preserve">The Pennsylvania Constitution </w:t>
      </w:r>
      <w:r w:rsidR="00BC671D">
        <w:rPr>
          <w:b/>
        </w:rPr>
        <w:t>separately requires</w:t>
      </w:r>
      <w:r w:rsidRPr="00493895">
        <w:rPr>
          <w:b/>
        </w:rPr>
        <w:t xml:space="preserve"> that courts be accessible to all, including </w:t>
      </w:r>
      <w:r w:rsidR="004A0FAA">
        <w:rPr>
          <w:b/>
          <w:color w:val="FF0000"/>
        </w:rPr>
        <w:t>Mr. Doe,</w:t>
      </w:r>
      <w:r w:rsidRPr="004A0FAA">
        <w:rPr>
          <w:b/>
          <w:color w:val="FF0000"/>
        </w:rPr>
        <w:t xml:space="preserve"> </w:t>
      </w:r>
      <w:r w:rsidRPr="00493895">
        <w:rPr>
          <w:b/>
        </w:rPr>
        <w:t>who cannot afford to pay filing fees</w:t>
      </w:r>
      <w:r w:rsidR="0020289B">
        <w:rPr>
          <w:b/>
        </w:rPr>
        <w:t>.</w:t>
      </w:r>
    </w:p>
    <w:p w14:paraId="3753A8DA" w14:textId="77777777" w:rsidR="000F4F4E" w:rsidRPr="00493895" w:rsidRDefault="000F4F4E" w:rsidP="000F4F4E">
      <w:pPr>
        <w:pStyle w:val="ListParagraph"/>
        <w:ind w:left="1080"/>
        <w:rPr>
          <w:b/>
        </w:rPr>
      </w:pPr>
    </w:p>
    <w:p w14:paraId="1F81908F" w14:textId="05D05C8D" w:rsidR="000F4F4E" w:rsidRDefault="0014767F" w:rsidP="008B6DBB">
      <w:pPr>
        <w:spacing w:line="480" w:lineRule="auto"/>
        <w:ind w:firstLine="720"/>
      </w:pPr>
      <w:r>
        <w:t xml:space="preserve">The Pennsylvania Constitution requires that our </w:t>
      </w:r>
      <w:r w:rsidR="000F4F4E" w:rsidRPr="00493895">
        <w:t xml:space="preserve">courts be accessible to all, including the indigent. </w:t>
      </w:r>
      <w:r>
        <w:t>Article 1, Section 11 of the Constitution states that</w:t>
      </w:r>
      <w:r w:rsidR="000F4F4E" w:rsidRPr="00493895">
        <w:t xml:space="preserve"> “all courts shall be open” and that </w:t>
      </w:r>
      <w:r>
        <w:t>every person</w:t>
      </w:r>
      <w:r w:rsidRPr="00493895">
        <w:t xml:space="preserve"> </w:t>
      </w:r>
      <w:r w:rsidR="000F4F4E" w:rsidRPr="00493895">
        <w:t>“shall have a remedy by due course of law, and right and justice administered without sale, denial or delay</w:t>
      </w:r>
      <w:r>
        <w:t>.</w:t>
      </w:r>
      <w:r w:rsidR="000F4F4E" w:rsidRPr="00493895">
        <w:t>”</w:t>
      </w:r>
      <w:r w:rsidR="00037390">
        <w:t xml:space="preserve"> </w:t>
      </w:r>
      <w:r w:rsidR="00037390">
        <w:rPr>
          <w:rFonts w:eastAsia="Times New Roman"/>
          <w:color w:val="000000"/>
          <w:shd w:val="clear" w:color="auto" w:fill="FFFFFF"/>
        </w:rPr>
        <w:t xml:space="preserve">This right of individuals to make use of the judicial process and avail themselves of their legal remedies </w:t>
      </w:r>
      <w:r w:rsidR="000F4F4E" w:rsidRPr="008B6DBB">
        <w:rPr>
          <w:rFonts w:eastAsia="Times New Roman"/>
          <w:color w:val="000000"/>
          <w:shd w:val="clear" w:color="auto" w:fill="FFFFFF"/>
        </w:rPr>
        <w:t>is fundamental and “should not be infringed upon</w:t>
      </w:r>
      <w:r w:rsidR="007A40A4" w:rsidRPr="007A40A4">
        <w:rPr>
          <w:rFonts w:eastAsia="Times New Roman"/>
          <w:color w:val="000000"/>
          <w:shd w:val="clear" w:color="auto" w:fill="FFFFFF"/>
        </w:rPr>
        <w:t>, unless no other course is reasonably possible</w:t>
      </w:r>
      <w:r w:rsidR="000F4F4E" w:rsidRPr="008B6DBB">
        <w:rPr>
          <w:rFonts w:eastAsia="Times New Roman"/>
          <w:color w:val="000000"/>
          <w:shd w:val="clear" w:color="auto" w:fill="FFFFFF"/>
        </w:rPr>
        <w:t xml:space="preserve">.” </w:t>
      </w:r>
      <w:r w:rsidR="000F4F4E" w:rsidRPr="008B6DBB">
        <w:rPr>
          <w:rFonts w:eastAsia="Times New Roman"/>
          <w:i/>
          <w:color w:val="000000"/>
          <w:shd w:val="clear" w:color="auto" w:fill="FFFFFF"/>
        </w:rPr>
        <w:t>Kelly v. Brenner</w:t>
      </w:r>
      <w:r w:rsidR="000F4F4E" w:rsidRPr="008B6DBB">
        <w:rPr>
          <w:rFonts w:eastAsia="Times New Roman"/>
          <w:color w:val="000000"/>
          <w:shd w:val="clear" w:color="auto" w:fill="FFFFFF"/>
        </w:rPr>
        <w:t xml:space="preserve">, 175 A. 845, 847 (Pa. </w:t>
      </w:r>
      <w:bookmarkStart w:id="0" w:name="_GoBack"/>
      <w:bookmarkEnd w:id="0"/>
      <w:r w:rsidR="000F4F4E" w:rsidRPr="008B6DBB">
        <w:rPr>
          <w:rFonts w:eastAsia="Times New Roman"/>
          <w:color w:val="000000"/>
          <w:shd w:val="clear" w:color="auto" w:fill="FFFFFF"/>
        </w:rPr>
        <w:t>1934).</w:t>
      </w:r>
      <w:r w:rsidR="00E10AE7">
        <w:rPr>
          <w:rFonts w:eastAsia="Times New Roman"/>
          <w:color w:val="000000"/>
          <w:shd w:val="clear" w:color="auto" w:fill="FFFFFF"/>
        </w:rPr>
        <w:t xml:space="preserve"> </w:t>
      </w:r>
      <w:r w:rsidR="000F4F4E" w:rsidRPr="008B6DBB">
        <w:rPr>
          <w:rFonts w:eastAsia="Times New Roman"/>
          <w:color w:val="000000"/>
          <w:shd w:val="clear" w:color="auto" w:fill="FFFFFF"/>
        </w:rPr>
        <w:t xml:space="preserve"> </w:t>
      </w:r>
    </w:p>
    <w:p w14:paraId="5BF96065" w14:textId="43A3E63A" w:rsidR="00E368F1" w:rsidRPr="00E368F1" w:rsidRDefault="000F4F4E" w:rsidP="008B6DBB">
      <w:pPr>
        <w:spacing w:line="480" w:lineRule="auto"/>
        <w:ind w:firstLine="720"/>
      </w:pPr>
      <w:r>
        <w:t xml:space="preserve">This </w:t>
      </w:r>
      <w:r w:rsidR="00303923">
        <w:t>provision</w:t>
      </w:r>
      <w:r>
        <w:t xml:space="preserve"> protects the right to proceed IFP.</w:t>
      </w:r>
      <w:r w:rsidR="00037390">
        <w:t xml:space="preserve"> </w:t>
      </w:r>
      <w:r w:rsidR="00037390">
        <w:rPr>
          <w:i/>
        </w:rPr>
        <w:t>See</w:t>
      </w:r>
      <w:r w:rsidR="00037390">
        <w:t xml:space="preserve">, </w:t>
      </w:r>
      <w:r w:rsidR="00037390">
        <w:rPr>
          <w:i/>
        </w:rPr>
        <w:t>e.g.</w:t>
      </w:r>
      <w:r w:rsidR="00037390">
        <w:t xml:space="preserve">, </w:t>
      </w:r>
      <w:r w:rsidR="00037390" w:rsidRPr="008B6DBB">
        <w:rPr>
          <w:i/>
        </w:rPr>
        <w:t>Cunha v. Cunha</w:t>
      </w:r>
      <w:r w:rsidR="00037390">
        <w:t xml:space="preserve">, </w:t>
      </w:r>
      <w:r w:rsidR="00037390" w:rsidRPr="00493895">
        <w:t>44 Pa. D. &amp; C.2d 230, 231 (Pa. Ct. Com. Pl 1968)</w:t>
      </w:r>
      <w:r w:rsidR="00037390">
        <w:t>.</w:t>
      </w:r>
      <w:r>
        <w:t xml:space="preserve"> </w:t>
      </w:r>
      <w:r w:rsidR="00037390">
        <w:t xml:space="preserve">As the </w:t>
      </w:r>
      <w:r w:rsidR="00037390">
        <w:rPr>
          <w:i/>
        </w:rPr>
        <w:t>Cunha</w:t>
      </w:r>
      <w:r w:rsidR="00037390">
        <w:t xml:space="preserve"> court explained, </w:t>
      </w:r>
      <w:r>
        <w:t>Pennsylvania’s trial courts have granted “</w:t>
      </w:r>
      <w:r w:rsidRPr="00DB1D05">
        <w:t>leave to a plaintiff to proceed in forma pauperis, regardless of whether such action is within the precise meaning of the constitutional provision.</w:t>
      </w:r>
      <w:r>
        <w:t>”</w:t>
      </w:r>
      <w:r w:rsidR="006F54AE">
        <w:t xml:space="preserve"> </w:t>
      </w:r>
      <w:r w:rsidR="00037390">
        <w:rPr>
          <w:i/>
        </w:rPr>
        <w:t>Id</w:t>
      </w:r>
      <w:r w:rsidRPr="00493895">
        <w:t>.</w:t>
      </w:r>
      <w:r>
        <w:t xml:space="preserve"> This applies even if the “right” at issue—in </w:t>
      </w:r>
      <w:r w:rsidRPr="008B6DBB">
        <w:rPr>
          <w:i/>
        </w:rPr>
        <w:t>Cunha</w:t>
      </w:r>
      <w:r>
        <w:t xml:space="preserve"> the right to secure a divorce—appears “at first blush” to be “</w:t>
      </w:r>
      <w:r w:rsidRPr="00DB1D05">
        <w:t>a luxury which should not be permitted without the payment of all the costs</w:t>
      </w:r>
      <w:r w:rsidR="00AC3DB5">
        <w:t>,” as</w:t>
      </w:r>
      <w:r>
        <w:t xml:space="preserve"> </w:t>
      </w:r>
      <w:r w:rsidRPr="00493895">
        <w:t xml:space="preserve">“[i]f our courts are to be open to all people regardless of their means, then the form of action should not be inquired into.” </w:t>
      </w:r>
      <w:r w:rsidRPr="008B6DBB">
        <w:rPr>
          <w:i/>
        </w:rPr>
        <w:t>Id.</w:t>
      </w:r>
    </w:p>
    <w:p w14:paraId="5D505ECD" w14:textId="0FF1F46F" w:rsidR="000F4F4E" w:rsidRPr="00CB3FFA" w:rsidRDefault="00D2141C" w:rsidP="008B6DBB">
      <w:pPr>
        <w:spacing w:line="480" w:lineRule="auto"/>
        <w:ind w:firstLine="720"/>
      </w:pPr>
      <w:r>
        <w:rPr>
          <w:rFonts w:eastAsia="Times New Roman"/>
          <w:color w:val="000000"/>
          <w:shd w:val="clear" w:color="auto" w:fill="FFFFFF"/>
        </w:rPr>
        <w:lastRenderedPageBreak/>
        <w:t>Pennsylvania courts violate the “open courts” provision of the Constitution if they do not waive filing fees for indigent</w:t>
      </w:r>
      <w:r w:rsidR="00392ACA">
        <w:rPr>
          <w:rFonts w:eastAsia="Times New Roman"/>
          <w:color w:val="000000"/>
          <w:shd w:val="clear" w:color="auto" w:fill="FFFFFF"/>
        </w:rPr>
        <w:t xml:space="preserve"> persons</w:t>
      </w:r>
      <w:r w:rsidR="00303923" w:rsidRPr="008B6DBB">
        <w:rPr>
          <w:rFonts w:eastAsia="Times New Roman"/>
          <w:color w:val="000000"/>
          <w:shd w:val="clear" w:color="auto" w:fill="FFFFFF"/>
        </w:rPr>
        <w:t>. I</w:t>
      </w:r>
      <w:r w:rsidR="000F4F4E" w:rsidRPr="008B6DBB">
        <w:rPr>
          <w:rFonts w:eastAsia="Times New Roman"/>
          <w:color w:val="000000"/>
          <w:shd w:val="clear" w:color="auto" w:fill="FFFFFF"/>
        </w:rPr>
        <w:t>n</w:t>
      </w:r>
      <w:r w:rsidR="000F4F4E" w:rsidRPr="008B6DBB">
        <w:rPr>
          <w:rFonts w:eastAsia="Times New Roman"/>
          <w:i/>
          <w:color w:val="000000"/>
          <w:shd w:val="clear" w:color="auto" w:fill="FFFFFF"/>
        </w:rPr>
        <w:t xml:space="preserve"> Schade v. Luppert</w:t>
      </w:r>
      <w:r w:rsidR="000F4F4E" w:rsidRPr="008B6DBB">
        <w:rPr>
          <w:rFonts w:eastAsia="Times New Roman"/>
          <w:color w:val="000000"/>
          <w:shd w:val="clear" w:color="auto" w:fill="FFFFFF"/>
        </w:rPr>
        <w:t xml:space="preserve">, the </w:t>
      </w:r>
      <w:r w:rsidR="00B0226A" w:rsidRPr="008B6DBB">
        <w:rPr>
          <w:rFonts w:eastAsia="Times New Roman"/>
          <w:color w:val="000000"/>
          <w:shd w:val="clear" w:color="auto" w:fill="FFFFFF"/>
        </w:rPr>
        <w:t xml:space="preserve">trial </w:t>
      </w:r>
      <w:r w:rsidR="000F4F4E" w:rsidRPr="008B6DBB">
        <w:rPr>
          <w:rFonts w:eastAsia="Times New Roman"/>
          <w:color w:val="000000"/>
          <w:shd w:val="clear" w:color="auto" w:fill="FFFFFF"/>
        </w:rPr>
        <w:t xml:space="preserve">court </w:t>
      </w:r>
      <w:r w:rsidR="00B0226A" w:rsidRPr="008B6DBB">
        <w:rPr>
          <w:rFonts w:eastAsia="Times New Roman"/>
          <w:color w:val="000000"/>
          <w:shd w:val="clear" w:color="auto" w:fill="FFFFFF"/>
        </w:rPr>
        <w:t>found that requiring</w:t>
      </w:r>
      <w:r w:rsidR="000F4F4E" w:rsidRPr="008B6DBB">
        <w:rPr>
          <w:rFonts w:eastAsia="Times New Roman"/>
          <w:color w:val="000000"/>
          <w:shd w:val="clear" w:color="auto" w:fill="FFFFFF"/>
        </w:rPr>
        <w:t xml:space="preserve"> an insolvent plaintiff to give security for costs </w:t>
      </w:r>
      <w:r w:rsidR="00B0226A" w:rsidRPr="008B6DBB">
        <w:rPr>
          <w:rFonts w:eastAsia="Times New Roman"/>
          <w:color w:val="000000"/>
          <w:shd w:val="clear" w:color="auto" w:fill="FFFFFF"/>
        </w:rPr>
        <w:t>violated</w:t>
      </w:r>
      <w:r w:rsidR="000F4F4E" w:rsidRPr="008B6DBB">
        <w:rPr>
          <w:rFonts w:eastAsia="Times New Roman"/>
          <w:color w:val="000000"/>
          <w:shd w:val="clear" w:color="auto" w:fill="FFFFFF"/>
        </w:rPr>
        <w:t xml:space="preserve"> Article I, Section 11 of the </w:t>
      </w:r>
      <w:r w:rsidR="00B0226A" w:rsidRPr="008B6DBB">
        <w:rPr>
          <w:rFonts w:eastAsia="Times New Roman"/>
          <w:color w:val="000000"/>
          <w:shd w:val="clear" w:color="auto" w:fill="FFFFFF"/>
        </w:rPr>
        <w:t>Pennsylvania</w:t>
      </w:r>
      <w:r w:rsidR="000F4F4E" w:rsidRPr="008B6DBB">
        <w:rPr>
          <w:rFonts w:eastAsia="Times New Roman"/>
          <w:color w:val="000000"/>
          <w:shd w:val="clear" w:color="auto" w:fill="FFFFFF"/>
        </w:rPr>
        <w:t xml:space="preserve"> Constitution because “[t]o him the courts of justice are not open</w:t>
      </w:r>
      <w:r w:rsidR="00AC31D9" w:rsidRPr="008B6DBB">
        <w:rPr>
          <w:rFonts w:eastAsia="Times New Roman"/>
          <w:color w:val="000000"/>
          <w:shd w:val="clear" w:color="auto" w:fill="FFFFFF"/>
        </w:rPr>
        <w:t xml:space="preserve"> </w:t>
      </w:r>
      <w:r w:rsidR="00E61EF7" w:rsidRPr="008B6DBB">
        <w:rPr>
          <w:rFonts w:eastAsia="Times New Roman"/>
          <w:color w:val="000000"/>
          <w:shd w:val="clear" w:color="auto" w:fill="FFFFFF"/>
        </w:rPr>
        <w:t xml:space="preserve">. . . </w:t>
      </w:r>
      <w:r w:rsidR="000F4F4E" w:rsidRPr="008B6DBB">
        <w:rPr>
          <w:rFonts w:eastAsia="Times New Roman"/>
          <w:color w:val="000000"/>
          <w:shd w:val="clear" w:color="auto" w:fill="FFFFFF"/>
        </w:rPr>
        <w:t xml:space="preserve"> the court has seen fit, by virtue of its ruling, to require of him something impossible for him to perform.” 17 Pa. C. C. 460, 46</w:t>
      </w:r>
      <w:r w:rsidR="00E61EF7" w:rsidRPr="008B6DBB">
        <w:rPr>
          <w:rFonts w:eastAsia="Times New Roman"/>
          <w:color w:val="000000"/>
          <w:shd w:val="clear" w:color="auto" w:fill="FFFFFF"/>
        </w:rPr>
        <w:t>2</w:t>
      </w:r>
      <w:r w:rsidR="000F4F4E" w:rsidRPr="008B6DBB">
        <w:rPr>
          <w:rFonts w:eastAsia="Times New Roman"/>
          <w:color w:val="000000"/>
          <w:shd w:val="clear" w:color="auto" w:fill="FFFFFF"/>
        </w:rPr>
        <w:t xml:space="preserve"> (Pa. Ct. Com. Pl. 1896).</w:t>
      </w:r>
      <w:r w:rsidR="00555D5B" w:rsidRPr="008B6DBB">
        <w:rPr>
          <w:rFonts w:eastAsia="Times New Roman"/>
          <w:color w:val="000000"/>
          <w:shd w:val="clear" w:color="auto" w:fill="FFFFFF"/>
        </w:rPr>
        <w:t xml:space="preserve"> Such a requirement would “render[] nugatory” the Declaration of Rights. </w:t>
      </w:r>
      <w:r w:rsidR="00555D5B" w:rsidRPr="008B6DBB">
        <w:rPr>
          <w:rFonts w:eastAsia="Times New Roman"/>
          <w:i/>
          <w:color w:val="000000"/>
          <w:shd w:val="clear" w:color="auto" w:fill="FFFFFF"/>
        </w:rPr>
        <w:t>Id</w:t>
      </w:r>
      <w:r w:rsidR="00555D5B" w:rsidRPr="008B6DBB">
        <w:rPr>
          <w:rFonts w:eastAsia="Times New Roman"/>
          <w:color w:val="000000"/>
          <w:shd w:val="clear" w:color="auto" w:fill="FFFFFF"/>
        </w:rPr>
        <w:t xml:space="preserve">. </w:t>
      </w:r>
      <w:r w:rsidR="000F4F4E" w:rsidRPr="008B6DBB">
        <w:rPr>
          <w:rFonts w:eastAsia="Times New Roman"/>
          <w:color w:val="000000"/>
          <w:shd w:val="clear" w:color="auto" w:fill="FFFFFF"/>
        </w:rPr>
        <w:t xml:space="preserve"> </w:t>
      </w:r>
      <w:r w:rsidR="000F4F4E" w:rsidRPr="008B6DBB">
        <w:rPr>
          <w:rFonts w:eastAsia="Times New Roman"/>
          <w:i/>
          <w:color w:val="000000"/>
          <w:shd w:val="clear" w:color="auto" w:fill="FFFFFF"/>
        </w:rPr>
        <w:t>See also Lutz v. Heasley</w:t>
      </w:r>
      <w:r w:rsidR="000F4F4E" w:rsidRPr="008B6DBB">
        <w:rPr>
          <w:rFonts w:eastAsia="Times New Roman"/>
          <w:color w:val="000000"/>
          <w:shd w:val="clear" w:color="auto" w:fill="FFFFFF"/>
        </w:rPr>
        <w:t xml:space="preserve">, </w:t>
      </w:r>
      <w:r w:rsidR="000F4F4E" w:rsidRPr="008B6DBB">
        <w:rPr>
          <w:rFonts w:ascii="Times" w:eastAsia="Times New Roman" w:hAnsi="Times"/>
          <w:color w:val="212121"/>
        </w:rPr>
        <w:t>12 Pa. D. 139, 139 (Pa. Ct. Com. Pl. 1902) (</w:t>
      </w:r>
      <w:r w:rsidR="002B510B">
        <w:rPr>
          <w:rFonts w:ascii="Times" w:eastAsia="Times New Roman" w:hAnsi="Times"/>
          <w:color w:val="212121"/>
        </w:rPr>
        <w:t>invalidating</w:t>
      </w:r>
      <w:r w:rsidR="002B510B" w:rsidRPr="008B6DBB">
        <w:rPr>
          <w:rFonts w:ascii="Times" w:eastAsia="Times New Roman" w:hAnsi="Times"/>
          <w:color w:val="212121"/>
        </w:rPr>
        <w:t xml:space="preserve"> </w:t>
      </w:r>
      <w:r w:rsidR="000F4F4E" w:rsidRPr="008B6DBB">
        <w:rPr>
          <w:rFonts w:ascii="Times" w:eastAsia="Times New Roman" w:hAnsi="Times"/>
          <w:color w:val="212121"/>
        </w:rPr>
        <w:t xml:space="preserve">a similar rule requiring plaintiffs to give security for costs); </w:t>
      </w:r>
      <w:r w:rsidR="000F4F4E" w:rsidRPr="008B6DBB">
        <w:rPr>
          <w:rFonts w:ascii="Times" w:eastAsia="Times New Roman" w:hAnsi="Times"/>
          <w:i/>
          <w:color w:val="000000" w:themeColor="text1"/>
        </w:rPr>
        <w:t>Willis v. Willis</w:t>
      </w:r>
      <w:r w:rsidR="000F4F4E" w:rsidRPr="008B6DBB">
        <w:rPr>
          <w:rFonts w:ascii="Times" w:eastAsia="Times New Roman" w:hAnsi="Times"/>
          <w:color w:val="000000" w:themeColor="text1"/>
        </w:rPr>
        <w:t>, 20 Pa. D. 72</w:t>
      </w:r>
      <w:r w:rsidR="00054F65" w:rsidRPr="008B6DBB">
        <w:rPr>
          <w:rFonts w:ascii="Times" w:eastAsia="Times New Roman" w:hAnsi="Times"/>
          <w:color w:val="000000" w:themeColor="text1"/>
        </w:rPr>
        <w:t>0, 720 (Pa. Ct. Com. Pl</w:t>
      </w:r>
      <w:r w:rsidR="00002F64" w:rsidRPr="008B6DBB">
        <w:rPr>
          <w:rFonts w:ascii="Times" w:eastAsia="Times New Roman" w:hAnsi="Times"/>
          <w:color w:val="000000" w:themeColor="text1"/>
        </w:rPr>
        <w:t>.</w:t>
      </w:r>
      <w:r w:rsidR="00054F65" w:rsidRPr="008B6DBB">
        <w:rPr>
          <w:rFonts w:ascii="Times" w:eastAsia="Times New Roman" w:hAnsi="Times"/>
          <w:color w:val="000000" w:themeColor="text1"/>
        </w:rPr>
        <w:t xml:space="preserve"> 1911) (</w:t>
      </w:r>
      <w:r w:rsidR="005200B6">
        <w:rPr>
          <w:rFonts w:ascii="Times" w:eastAsia="Times New Roman" w:hAnsi="Times"/>
          <w:color w:val="000000" w:themeColor="text1"/>
        </w:rPr>
        <w:t xml:space="preserve">holding that </w:t>
      </w:r>
      <w:r w:rsidR="000F4F4E" w:rsidRPr="008B6DBB">
        <w:rPr>
          <w:rFonts w:ascii="Times" w:eastAsia="Times New Roman" w:hAnsi="Times"/>
          <w:color w:val="000000" w:themeColor="text1"/>
        </w:rPr>
        <w:t xml:space="preserve">plaintiff cannot be denied access to the courts because of his inability to pay, and that “such person, when a resident, may prosecute a suit in this state </w:t>
      </w:r>
      <w:r w:rsidR="000F4F4E" w:rsidRPr="00B40849">
        <w:rPr>
          <w:rFonts w:ascii="Times" w:eastAsia="Times New Roman" w:hAnsi="Times"/>
          <w:color w:val="000000" w:themeColor="text1"/>
        </w:rPr>
        <w:t>in forma pauperis</w:t>
      </w:r>
      <w:r w:rsidR="000F4F4E" w:rsidRPr="008B6DBB">
        <w:rPr>
          <w:rFonts w:ascii="Times" w:eastAsia="Times New Roman" w:hAnsi="Times"/>
          <w:color w:val="000000" w:themeColor="text1"/>
        </w:rPr>
        <w:t>”</w:t>
      </w:r>
      <w:r w:rsidR="00163E43" w:rsidRPr="008B6DBB">
        <w:rPr>
          <w:rFonts w:ascii="Times" w:eastAsia="Times New Roman" w:hAnsi="Times"/>
          <w:color w:val="000000" w:themeColor="text1"/>
        </w:rPr>
        <w:t>).</w:t>
      </w:r>
    </w:p>
    <w:p w14:paraId="41064D97" w14:textId="3363821F" w:rsidR="00CB3FFA" w:rsidRPr="00E368F1" w:rsidRDefault="005200B6" w:rsidP="008B6DBB">
      <w:pPr>
        <w:spacing w:line="480" w:lineRule="auto"/>
        <w:ind w:firstLine="720"/>
      </w:pPr>
      <w:r>
        <w:rPr>
          <w:rFonts w:ascii="Times" w:eastAsia="Times New Roman" w:hAnsi="Times"/>
          <w:color w:val="000000" w:themeColor="text1"/>
        </w:rPr>
        <w:t>T</w:t>
      </w:r>
      <w:r w:rsidR="00CB3FFA" w:rsidRPr="008B6DBB">
        <w:rPr>
          <w:rFonts w:ascii="Times" w:eastAsia="Times New Roman" w:hAnsi="Times"/>
          <w:color w:val="000000" w:themeColor="text1"/>
        </w:rPr>
        <w:t xml:space="preserve">his Court cannot interpret § 9122 to require the payment of a filing fee even for individuals who cannot afford it. To do otherwise would violate Article 1, Section 11 of our Constitution. </w:t>
      </w:r>
    </w:p>
    <w:p w14:paraId="2AE3B9E8" w14:textId="75C98DFF" w:rsidR="00465D72" w:rsidRDefault="00B45BD0" w:rsidP="00CB3FFA">
      <w:pPr>
        <w:pStyle w:val="ListParagraph"/>
        <w:numPr>
          <w:ilvl w:val="0"/>
          <w:numId w:val="3"/>
        </w:numPr>
        <w:rPr>
          <w:rFonts w:ascii="Times" w:eastAsia="Times New Roman" w:hAnsi="Times"/>
          <w:b/>
          <w:color w:val="000000" w:themeColor="text1"/>
        </w:rPr>
      </w:pPr>
      <w:r>
        <w:rPr>
          <w:rFonts w:ascii="Times" w:eastAsia="Times New Roman" w:hAnsi="Times"/>
          <w:b/>
          <w:color w:val="FF0000"/>
        </w:rPr>
        <w:t>Mr. Doe</w:t>
      </w:r>
      <w:r w:rsidR="00112FEF" w:rsidRPr="00B45BD0">
        <w:rPr>
          <w:rFonts w:ascii="Times" w:eastAsia="Times New Roman" w:hAnsi="Times"/>
          <w:b/>
          <w:color w:val="FF0000"/>
        </w:rPr>
        <w:t xml:space="preserve"> </w:t>
      </w:r>
      <w:r w:rsidR="00112FEF">
        <w:rPr>
          <w:rFonts w:ascii="Times" w:eastAsia="Times New Roman" w:hAnsi="Times"/>
          <w:b/>
          <w:color w:val="000000" w:themeColor="text1"/>
        </w:rPr>
        <w:t xml:space="preserve">has a right to a hearing on </w:t>
      </w:r>
      <w:r w:rsidR="000D5B5B" w:rsidRPr="000D5B5B">
        <w:rPr>
          <w:rFonts w:ascii="Times" w:eastAsia="Times New Roman" w:hAnsi="Times"/>
          <w:b/>
          <w:color w:val="FF0000"/>
        </w:rPr>
        <w:t>his</w:t>
      </w:r>
      <w:r w:rsidR="00112FEF" w:rsidRPr="000D5B5B">
        <w:rPr>
          <w:rFonts w:ascii="Times" w:eastAsia="Times New Roman" w:hAnsi="Times"/>
          <w:b/>
          <w:color w:val="FF0000"/>
        </w:rPr>
        <w:t xml:space="preserve"> </w:t>
      </w:r>
      <w:r w:rsidR="00112FEF">
        <w:rPr>
          <w:rFonts w:ascii="Times" w:eastAsia="Times New Roman" w:hAnsi="Times"/>
          <w:b/>
          <w:color w:val="000000" w:themeColor="text1"/>
        </w:rPr>
        <w:t xml:space="preserve">IFP petition </w:t>
      </w:r>
      <w:r w:rsidR="00CB3FFA">
        <w:rPr>
          <w:rFonts w:ascii="Times" w:eastAsia="Times New Roman" w:hAnsi="Times"/>
          <w:b/>
          <w:color w:val="000000" w:themeColor="text1"/>
        </w:rPr>
        <w:t xml:space="preserve">prior to dismissal. </w:t>
      </w:r>
    </w:p>
    <w:p w14:paraId="35CECD9C" w14:textId="77777777" w:rsidR="00CB3FFA" w:rsidRPr="00465D72" w:rsidRDefault="00CB3FFA" w:rsidP="00CB3FFA">
      <w:pPr>
        <w:pStyle w:val="ListParagraph"/>
        <w:ind w:left="1080"/>
        <w:rPr>
          <w:rFonts w:ascii="Times" w:eastAsia="Times New Roman" w:hAnsi="Times"/>
          <w:b/>
          <w:color w:val="000000" w:themeColor="text1"/>
        </w:rPr>
      </w:pPr>
    </w:p>
    <w:p w14:paraId="4FAB964F" w14:textId="2A11B7AB" w:rsidR="008C165A" w:rsidRPr="008B6DBB" w:rsidRDefault="00EE475C" w:rsidP="008B6DBB">
      <w:pPr>
        <w:spacing w:line="480" w:lineRule="auto"/>
        <w:ind w:firstLine="720"/>
        <w:rPr>
          <w:rFonts w:eastAsia="Times New Roman"/>
          <w:color w:val="000000" w:themeColor="text1"/>
        </w:rPr>
      </w:pPr>
      <w:r>
        <w:t xml:space="preserve">If </w:t>
      </w:r>
      <w:r w:rsidR="00240D27">
        <w:t>a</w:t>
      </w:r>
      <w:r w:rsidR="00541D90">
        <w:t xml:space="preserve"> </w:t>
      </w:r>
      <w:r w:rsidR="00FF6F6F">
        <w:t>trial</w:t>
      </w:r>
      <w:r w:rsidR="00936E24">
        <w:t xml:space="preserve"> court believes the averments the petitioner has submitted in </w:t>
      </w:r>
      <w:r w:rsidR="00936E24" w:rsidRPr="005C32AC">
        <w:rPr>
          <w:color w:val="FF0000"/>
        </w:rPr>
        <w:t>his</w:t>
      </w:r>
      <w:r w:rsidR="00936E24">
        <w:t xml:space="preserve"> IFP petition, then </w:t>
      </w:r>
      <w:r w:rsidR="00F34A19">
        <w:t>the court</w:t>
      </w:r>
      <w:r w:rsidR="00541D90">
        <w:t xml:space="preserve"> </w:t>
      </w:r>
      <w:r w:rsidR="00C0024A">
        <w:t xml:space="preserve">may </w:t>
      </w:r>
      <w:r w:rsidR="00DB1E35">
        <w:t>grant him</w:t>
      </w:r>
      <w:r w:rsidR="008C7FB5">
        <w:t xml:space="preserve"> </w:t>
      </w:r>
      <w:r w:rsidR="00DB1E35">
        <w:t>IFP status</w:t>
      </w:r>
      <w:r w:rsidR="00F34A19">
        <w:t xml:space="preserve"> without holding a hearing</w:t>
      </w:r>
      <w:r w:rsidR="008C7FB5">
        <w:t xml:space="preserve">. </w:t>
      </w:r>
      <w:r w:rsidR="002F47AB" w:rsidRPr="008B6DBB">
        <w:rPr>
          <w:i/>
        </w:rPr>
        <w:t>In re Adoption of B.G.S.</w:t>
      </w:r>
      <w:r w:rsidR="002F47AB">
        <w:t>, 614 A.2d 1161,</w:t>
      </w:r>
      <w:r w:rsidR="008535C4">
        <w:t xml:space="preserve"> 1170</w:t>
      </w:r>
      <w:r w:rsidR="002F47AB">
        <w:t xml:space="preserve"> </w:t>
      </w:r>
      <w:r w:rsidR="00936E24">
        <w:t xml:space="preserve">(Pa. Super. </w:t>
      </w:r>
      <w:r w:rsidR="009C7189">
        <w:t xml:space="preserve">Ct. </w:t>
      </w:r>
      <w:r w:rsidR="00936E24">
        <w:t>1992). However, “[i]</w:t>
      </w:r>
      <w:r w:rsidR="00FF2FBC">
        <w:t>f the trial court disbelieves the petitioner’</w:t>
      </w:r>
      <w:r w:rsidR="00936E24">
        <w:t xml:space="preserve">s averments it is incumbent upon </w:t>
      </w:r>
      <w:r w:rsidR="00FF6F6F">
        <w:t>[it]</w:t>
      </w:r>
      <w:r w:rsidR="00CB0B29">
        <w:t xml:space="preserve"> to hold an evidentiary hearing,</w:t>
      </w:r>
      <w:r w:rsidR="00936E24">
        <w:t>”</w:t>
      </w:r>
      <w:r w:rsidR="007F1811">
        <w:t xml:space="preserve"> </w:t>
      </w:r>
      <w:r w:rsidR="00CB0B29">
        <w:t xml:space="preserve">because </w:t>
      </w:r>
      <w:r w:rsidR="00E9410D">
        <w:t>“</w:t>
      </w:r>
      <w:r w:rsidR="00CB0B29">
        <w:t>t</w:t>
      </w:r>
      <w:r w:rsidR="00E9410D">
        <w:t>o deny the petition summarily, without a hearing, would be improper.”</w:t>
      </w:r>
      <w:r w:rsidR="00CB0B29">
        <w:t xml:space="preserve"> </w:t>
      </w:r>
      <w:r w:rsidR="00CB0B29" w:rsidRPr="008B6DBB">
        <w:rPr>
          <w:i/>
        </w:rPr>
        <w:t>B.G.S.</w:t>
      </w:r>
      <w:r w:rsidR="00CB0B29">
        <w:t xml:space="preserve">, 614 A.2d at 1170; </w:t>
      </w:r>
      <w:r w:rsidRPr="008B6DBB">
        <w:rPr>
          <w:rFonts w:eastAsia="Times New Roman"/>
          <w:i/>
          <w:color w:val="000000" w:themeColor="text1"/>
        </w:rPr>
        <w:t>Thompson</w:t>
      </w:r>
      <w:r w:rsidRPr="008B6DBB">
        <w:rPr>
          <w:rFonts w:eastAsia="Times New Roman"/>
          <w:color w:val="000000" w:themeColor="text1"/>
        </w:rPr>
        <w:t xml:space="preserve">, </w:t>
      </w:r>
      <w:r>
        <w:t>419 A.2d at 1240.</w:t>
      </w:r>
      <w:r w:rsidR="00547AA6" w:rsidRPr="008B6DBB">
        <w:rPr>
          <w:rFonts w:eastAsia="Times New Roman"/>
          <w:color w:val="000000" w:themeColor="text1"/>
        </w:rPr>
        <w:t xml:space="preserve"> </w:t>
      </w:r>
      <w:r w:rsidR="00C57787" w:rsidRPr="008B6DBB">
        <w:rPr>
          <w:rFonts w:eastAsia="Times New Roman"/>
          <w:i/>
          <w:color w:val="000000" w:themeColor="text1"/>
        </w:rPr>
        <w:t xml:space="preserve">See also </w:t>
      </w:r>
      <w:r w:rsidR="00A14990" w:rsidRPr="008B6DBB">
        <w:rPr>
          <w:rFonts w:eastAsia="Times New Roman"/>
          <w:i/>
          <w:color w:val="000000" w:themeColor="text1"/>
        </w:rPr>
        <w:t>Amrhein v.</w:t>
      </w:r>
      <w:r w:rsidR="00A14990" w:rsidRPr="008B6DBB">
        <w:rPr>
          <w:rFonts w:eastAsia="Times New Roman"/>
          <w:color w:val="000000" w:themeColor="text1"/>
        </w:rPr>
        <w:t xml:space="preserve"> </w:t>
      </w:r>
      <w:r w:rsidR="00A14990" w:rsidRPr="008B6DBB">
        <w:rPr>
          <w:rFonts w:eastAsia="Times New Roman"/>
          <w:i/>
          <w:color w:val="000000" w:themeColor="text1"/>
        </w:rPr>
        <w:t>Amrhein</w:t>
      </w:r>
      <w:r w:rsidR="00A14990" w:rsidRPr="008B6DBB">
        <w:rPr>
          <w:rFonts w:eastAsia="Times New Roman"/>
          <w:color w:val="000000" w:themeColor="text1"/>
        </w:rPr>
        <w:t xml:space="preserve">, 903 A.2d 17 (Pa. Super. Ct. 2006) (directing the trial court to hold a hearing if it rejects the petitioner’s averments in her IFP application); </w:t>
      </w:r>
      <w:r w:rsidR="00C57787" w:rsidRPr="008B6DBB">
        <w:rPr>
          <w:rFonts w:eastAsia="Times New Roman"/>
          <w:i/>
          <w:color w:val="000000" w:themeColor="text1"/>
        </w:rPr>
        <w:t>Lepre</w:t>
      </w:r>
      <w:r w:rsidR="00C57787" w:rsidRPr="008B6DBB">
        <w:rPr>
          <w:rFonts w:eastAsia="Times New Roman"/>
          <w:color w:val="000000" w:themeColor="text1"/>
        </w:rPr>
        <w:t xml:space="preserve">, 18 A.3d </w:t>
      </w:r>
      <w:r w:rsidR="00350BCA" w:rsidRPr="008B6DBB">
        <w:rPr>
          <w:rFonts w:eastAsia="Times New Roman"/>
          <w:color w:val="000000" w:themeColor="text1"/>
        </w:rPr>
        <w:t xml:space="preserve">at 1128 </w:t>
      </w:r>
      <w:r w:rsidR="00D929CD" w:rsidRPr="008B6DBB">
        <w:rPr>
          <w:rFonts w:eastAsia="Times New Roman"/>
          <w:color w:val="000000" w:themeColor="text1"/>
        </w:rPr>
        <w:t xml:space="preserve">(holding </w:t>
      </w:r>
      <w:r w:rsidR="00BA08E9" w:rsidRPr="008B6DBB">
        <w:rPr>
          <w:rFonts w:eastAsia="Times New Roman"/>
          <w:color w:val="000000" w:themeColor="text1"/>
        </w:rPr>
        <w:t xml:space="preserve">that the trial court </w:t>
      </w:r>
      <w:r w:rsidR="004C3804" w:rsidRPr="008B6DBB">
        <w:rPr>
          <w:rFonts w:eastAsia="Times New Roman"/>
          <w:color w:val="000000" w:themeColor="text1"/>
        </w:rPr>
        <w:t xml:space="preserve">abused its discretion by not holding a hearing before </w:t>
      </w:r>
      <w:r w:rsidR="004C3804" w:rsidRPr="008B6DBB">
        <w:rPr>
          <w:rFonts w:eastAsia="Times New Roman"/>
          <w:color w:val="000000" w:themeColor="text1"/>
        </w:rPr>
        <w:lastRenderedPageBreak/>
        <w:t xml:space="preserve">rejecting the defendant’s averred inability to pay). </w:t>
      </w:r>
      <w:r w:rsidR="00E5699D" w:rsidRPr="008B6DBB">
        <w:rPr>
          <w:rFonts w:eastAsia="Times New Roman"/>
          <w:color w:val="000000" w:themeColor="text1"/>
        </w:rPr>
        <w:t>Accordingly,</w:t>
      </w:r>
      <w:r w:rsidR="00CB3FFA" w:rsidRPr="008B6DBB">
        <w:rPr>
          <w:rFonts w:eastAsia="Times New Roman"/>
          <w:color w:val="000000" w:themeColor="text1"/>
        </w:rPr>
        <w:t xml:space="preserve"> if this Court is considering denying</w:t>
      </w:r>
      <w:r w:rsidR="00E5699D" w:rsidRPr="008B6DBB">
        <w:rPr>
          <w:rFonts w:eastAsia="Times New Roman"/>
          <w:color w:val="000000" w:themeColor="text1"/>
        </w:rPr>
        <w:t xml:space="preserve"> </w:t>
      </w:r>
      <w:r w:rsidR="00B17350" w:rsidRPr="008B6DBB">
        <w:rPr>
          <w:rFonts w:eastAsia="Times New Roman"/>
          <w:color w:val="FF0000"/>
        </w:rPr>
        <w:t>Mr. Doe</w:t>
      </w:r>
      <w:r w:rsidR="00CB3FFA" w:rsidRPr="008B6DBB">
        <w:rPr>
          <w:rFonts w:eastAsia="Times New Roman"/>
          <w:color w:val="FF0000"/>
        </w:rPr>
        <w:t>’s</w:t>
      </w:r>
      <w:r w:rsidR="00B17350" w:rsidRPr="008B6DBB">
        <w:rPr>
          <w:rFonts w:eastAsia="Times New Roman"/>
          <w:color w:val="FF0000"/>
        </w:rPr>
        <w:t xml:space="preserve"> </w:t>
      </w:r>
      <w:r w:rsidR="00CB3FFA" w:rsidRPr="008B6DBB">
        <w:rPr>
          <w:rFonts w:eastAsia="Times New Roman"/>
          <w:color w:val="000000" w:themeColor="text1"/>
        </w:rPr>
        <w:t xml:space="preserve">petition, </w:t>
      </w:r>
      <w:r w:rsidR="00CB3FFA" w:rsidRPr="005C32AC">
        <w:rPr>
          <w:rFonts w:eastAsia="Times New Roman"/>
          <w:color w:val="FF0000"/>
        </w:rPr>
        <w:t>he</w:t>
      </w:r>
      <w:r w:rsidR="00CB3FFA" w:rsidRPr="008B6DBB">
        <w:rPr>
          <w:rFonts w:eastAsia="Times New Roman"/>
          <w:color w:val="000000" w:themeColor="text1"/>
        </w:rPr>
        <w:t xml:space="preserve"> is first </w:t>
      </w:r>
      <w:r w:rsidR="00B17350" w:rsidRPr="008B6DBB">
        <w:rPr>
          <w:rFonts w:eastAsia="Times New Roman"/>
          <w:color w:val="000000" w:themeColor="text1"/>
        </w:rPr>
        <w:t>entitled to a hearing.</w:t>
      </w:r>
    </w:p>
    <w:sectPr w:rsidR="008C165A" w:rsidRPr="008B6DBB" w:rsidSect="002313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544F" w14:textId="77777777" w:rsidR="00FC4175" w:rsidRDefault="00FC4175" w:rsidP="001A28CD">
      <w:r>
        <w:separator/>
      </w:r>
    </w:p>
  </w:endnote>
  <w:endnote w:type="continuationSeparator" w:id="0">
    <w:p w14:paraId="14545544" w14:textId="77777777" w:rsidR="00FC4175" w:rsidRDefault="00FC4175" w:rsidP="001A28CD">
      <w:r>
        <w:continuationSeparator/>
      </w:r>
    </w:p>
  </w:endnote>
  <w:endnote w:type="continuationNotice" w:id="1">
    <w:p w14:paraId="7F05C6EB" w14:textId="77777777" w:rsidR="00FC4175" w:rsidRDefault="00FC4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66641"/>
      <w:docPartObj>
        <w:docPartGallery w:val="Page Numbers (Bottom of Page)"/>
        <w:docPartUnique/>
      </w:docPartObj>
    </w:sdtPr>
    <w:sdtEndPr>
      <w:rPr>
        <w:noProof/>
      </w:rPr>
    </w:sdtEndPr>
    <w:sdtContent>
      <w:p w14:paraId="40B47791" w14:textId="160005FD" w:rsidR="007A3914" w:rsidRDefault="007A3914">
        <w:pPr>
          <w:pStyle w:val="Footer"/>
          <w:jc w:val="center"/>
        </w:pPr>
        <w:r>
          <w:fldChar w:fldCharType="begin"/>
        </w:r>
        <w:r>
          <w:instrText xml:space="preserve"> PAGE   \* MERGEFORMAT </w:instrText>
        </w:r>
        <w:r>
          <w:fldChar w:fldCharType="separate"/>
        </w:r>
        <w:r w:rsidR="00E10AE7">
          <w:rPr>
            <w:noProof/>
          </w:rPr>
          <w:t>5</w:t>
        </w:r>
        <w:r>
          <w:rPr>
            <w:noProof/>
          </w:rPr>
          <w:fldChar w:fldCharType="end"/>
        </w:r>
      </w:p>
    </w:sdtContent>
  </w:sdt>
  <w:p w14:paraId="56A786B8" w14:textId="77777777" w:rsidR="007A3914" w:rsidRDefault="007A3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43DB" w14:textId="77777777" w:rsidR="00FC4175" w:rsidRDefault="00FC4175" w:rsidP="001A28CD">
      <w:r>
        <w:separator/>
      </w:r>
    </w:p>
  </w:footnote>
  <w:footnote w:type="continuationSeparator" w:id="0">
    <w:p w14:paraId="0C9660D6" w14:textId="77777777" w:rsidR="00FC4175" w:rsidRDefault="00FC4175" w:rsidP="001A28CD">
      <w:r>
        <w:continuationSeparator/>
      </w:r>
    </w:p>
  </w:footnote>
  <w:footnote w:type="continuationNotice" w:id="1">
    <w:p w14:paraId="24D05ACE" w14:textId="77777777" w:rsidR="00FC4175" w:rsidRDefault="00FC41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A4B2A" w14:textId="77777777" w:rsidR="00FB333E" w:rsidRDefault="00FB3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D57E7"/>
    <w:multiLevelType w:val="hybridMultilevel"/>
    <w:tmpl w:val="AEF2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713C9"/>
    <w:multiLevelType w:val="hybridMultilevel"/>
    <w:tmpl w:val="05864172"/>
    <w:lvl w:ilvl="0" w:tplc="AC363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30813"/>
    <w:multiLevelType w:val="hybridMultilevel"/>
    <w:tmpl w:val="CE341898"/>
    <w:lvl w:ilvl="0" w:tplc="C3A29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902ECB"/>
    <w:multiLevelType w:val="hybridMultilevel"/>
    <w:tmpl w:val="E12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27E86"/>
    <w:multiLevelType w:val="hybridMultilevel"/>
    <w:tmpl w:val="BC0CB1EC"/>
    <w:lvl w:ilvl="0" w:tplc="D632EB76">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28"/>
    <w:rsid w:val="00002F64"/>
    <w:rsid w:val="00007496"/>
    <w:rsid w:val="00010D9A"/>
    <w:rsid w:val="000137FB"/>
    <w:rsid w:val="00032B54"/>
    <w:rsid w:val="0003317F"/>
    <w:rsid w:val="00033464"/>
    <w:rsid w:val="000366B7"/>
    <w:rsid w:val="00037390"/>
    <w:rsid w:val="00037504"/>
    <w:rsid w:val="0004040A"/>
    <w:rsid w:val="00041A3C"/>
    <w:rsid w:val="0004365C"/>
    <w:rsid w:val="00045CB6"/>
    <w:rsid w:val="000477DA"/>
    <w:rsid w:val="00052289"/>
    <w:rsid w:val="00054D8A"/>
    <w:rsid w:val="00054F65"/>
    <w:rsid w:val="00056CB4"/>
    <w:rsid w:val="00060E61"/>
    <w:rsid w:val="000632E8"/>
    <w:rsid w:val="000657D4"/>
    <w:rsid w:val="000711F5"/>
    <w:rsid w:val="00071EBE"/>
    <w:rsid w:val="00071FD1"/>
    <w:rsid w:val="000813CE"/>
    <w:rsid w:val="00085B25"/>
    <w:rsid w:val="00086041"/>
    <w:rsid w:val="00087723"/>
    <w:rsid w:val="00092F57"/>
    <w:rsid w:val="000941AF"/>
    <w:rsid w:val="00096236"/>
    <w:rsid w:val="00097266"/>
    <w:rsid w:val="000A0EB2"/>
    <w:rsid w:val="000A64F4"/>
    <w:rsid w:val="000B322A"/>
    <w:rsid w:val="000B7309"/>
    <w:rsid w:val="000C27AF"/>
    <w:rsid w:val="000D3D0F"/>
    <w:rsid w:val="000D5B5B"/>
    <w:rsid w:val="000E4B6A"/>
    <w:rsid w:val="000F1430"/>
    <w:rsid w:val="000F1CAC"/>
    <w:rsid w:val="000F2FBE"/>
    <w:rsid w:val="000F4F4E"/>
    <w:rsid w:val="000F6072"/>
    <w:rsid w:val="00107628"/>
    <w:rsid w:val="00112FEF"/>
    <w:rsid w:val="001220A8"/>
    <w:rsid w:val="00126078"/>
    <w:rsid w:val="0012649D"/>
    <w:rsid w:val="001418FE"/>
    <w:rsid w:val="0014767F"/>
    <w:rsid w:val="00152427"/>
    <w:rsid w:val="00154AAE"/>
    <w:rsid w:val="00163D8F"/>
    <w:rsid w:val="00163E43"/>
    <w:rsid w:val="001A1D52"/>
    <w:rsid w:val="001A1EC2"/>
    <w:rsid w:val="001A1FDD"/>
    <w:rsid w:val="001A28CD"/>
    <w:rsid w:val="001B6449"/>
    <w:rsid w:val="001B7188"/>
    <w:rsid w:val="001B7E1E"/>
    <w:rsid w:val="001C1F08"/>
    <w:rsid w:val="001C229D"/>
    <w:rsid w:val="001C6214"/>
    <w:rsid w:val="001C6C47"/>
    <w:rsid w:val="001C7147"/>
    <w:rsid w:val="001D464A"/>
    <w:rsid w:val="001E2204"/>
    <w:rsid w:val="001F05D5"/>
    <w:rsid w:val="001F5C28"/>
    <w:rsid w:val="001F6444"/>
    <w:rsid w:val="0020289B"/>
    <w:rsid w:val="00211522"/>
    <w:rsid w:val="00217EC5"/>
    <w:rsid w:val="002204AA"/>
    <w:rsid w:val="0022082B"/>
    <w:rsid w:val="00231333"/>
    <w:rsid w:val="002319B9"/>
    <w:rsid w:val="00232B66"/>
    <w:rsid w:val="00240297"/>
    <w:rsid w:val="00240D27"/>
    <w:rsid w:val="00241641"/>
    <w:rsid w:val="00243758"/>
    <w:rsid w:val="00246CED"/>
    <w:rsid w:val="00250986"/>
    <w:rsid w:val="002526D8"/>
    <w:rsid w:val="0025279D"/>
    <w:rsid w:val="00267BF3"/>
    <w:rsid w:val="00267C2E"/>
    <w:rsid w:val="00271A35"/>
    <w:rsid w:val="00274AA2"/>
    <w:rsid w:val="00275534"/>
    <w:rsid w:val="00277E32"/>
    <w:rsid w:val="002811DA"/>
    <w:rsid w:val="002839AC"/>
    <w:rsid w:val="002864F1"/>
    <w:rsid w:val="00286EC4"/>
    <w:rsid w:val="00290CDE"/>
    <w:rsid w:val="00290D2F"/>
    <w:rsid w:val="002912ED"/>
    <w:rsid w:val="00291EE1"/>
    <w:rsid w:val="00293F51"/>
    <w:rsid w:val="00296C73"/>
    <w:rsid w:val="002A1A81"/>
    <w:rsid w:val="002A26EA"/>
    <w:rsid w:val="002B0C77"/>
    <w:rsid w:val="002B510B"/>
    <w:rsid w:val="002C257E"/>
    <w:rsid w:val="002C7108"/>
    <w:rsid w:val="002C71E7"/>
    <w:rsid w:val="002D26CA"/>
    <w:rsid w:val="002D3A97"/>
    <w:rsid w:val="002F09D7"/>
    <w:rsid w:val="002F202B"/>
    <w:rsid w:val="002F3720"/>
    <w:rsid w:val="002F47AB"/>
    <w:rsid w:val="00303923"/>
    <w:rsid w:val="0031075A"/>
    <w:rsid w:val="003118D7"/>
    <w:rsid w:val="00312119"/>
    <w:rsid w:val="00313B8A"/>
    <w:rsid w:val="003205AB"/>
    <w:rsid w:val="0032623F"/>
    <w:rsid w:val="003320B8"/>
    <w:rsid w:val="00337BCD"/>
    <w:rsid w:val="00350BCA"/>
    <w:rsid w:val="00350CC9"/>
    <w:rsid w:val="00353054"/>
    <w:rsid w:val="00354AF2"/>
    <w:rsid w:val="00365AD9"/>
    <w:rsid w:val="00372FF9"/>
    <w:rsid w:val="00374F83"/>
    <w:rsid w:val="00376C2B"/>
    <w:rsid w:val="00384356"/>
    <w:rsid w:val="00391C72"/>
    <w:rsid w:val="00392ACA"/>
    <w:rsid w:val="00395090"/>
    <w:rsid w:val="003A672E"/>
    <w:rsid w:val="003A78B1"/>
    <w:rsid w:val="003B0373"/>
    <w:rsid w:val="003B4DE0"/>
    <w:rsid w:val="003C303F"/>
    <w:rsid w:val="003C51F3"/>
    <w:rsid w:val="003D12B7"/>
    <w:rsid w:val="003D4129"/>
    <w:rsid w:val="003D62E0"/>
    <w:rsid w:val="003E03CA"/>
    <w:rsid w:val="003E1F80"/>
    <w:rsid w:val="003E1FBF"/>
    <w:rsid w:val="003E26A4"/>
    <w:rsid w:val="003F2DAE"/>
    <w:rsid w:val="004054B9"/>
    <w:rsid w:val="0041075E"/>
    <w:rsid w:val="00412BA7"/>
    <w:rsid w:val="0041306F"/>
    <w:rsid w:val="00414D5B"/>
    <w:rsid w:val="00416819"/>
    <w:rsid w:val="0041706E"/>
    <w:rsid w:val="0042571F"/>
    <w:rsid w:val="00440A96"/>
    <w:rsid w:val="00443255"/>
    <w:rsid w:val="004503A2"/>
    <w:rsid w:val="004554ED"/>
    <w:rsid w:val="00462033"/>
    <w:rsid w:val="00462574"/>
    <w:rsid w:val="00465D72"/>
    <w:rsid w:val="004733B5"/>
    <w:rsid w:val="00476F02"/>
    <w:rsid w:val="00481512"/>
    <w:rsid w:val="004816B4"/>
    <w:rsid w:val="0048683A"/>
    <w:rsid w:val="00493895"/>
    <w:rsid w:val="004A04AF"/>
    <w:rsid w:val="004A0FAA"/>
    <w:rsid w:val="004A2C34"/>
    <w:rsid w:val="004A3C52"/>
    <w:rsid w:val="004B2851"/>
    <w:rsid w:val="004B7438"/>
    <w:rsid w:val="004C12CB"/>
    <w:rsid w:val="004C3804"/>
    <w:rsid w:val="004C4A20"/>
    <w:rsid w:val="004C55CA"/>
    <w:rsid w:val="004C7B19"/>
    <w:rsid w:val="004D2CF0"/>
    <w:rsid w:val="004D5D8D"/>
    <w:rsid w:val="004D7EFC"/>
    <w:rsid w:val="004E047E"/>
    <w:rsid w:val="004E4AC3"/>
    <w:rsid w:val="00501020"/>
    <w:rsid w:val="0050115C"/>
    <w:rsid w:val="00504E06"/>
    <w:rsid w:val="005060F2"/>
    <w:rsid w:val="00511730"/>
    <w:rsid w:val="00514C2D"/>
    <w:rsid w:val="005200B6"/>
    <w:rsid w:val="005258AF"/>
    <w:rsid w:val="00526490"/>
    <w:rsid w:val="0053181E"/>
    <w:rsid w:val="00537248"/>
    <w:rsid w:val="00541D90"/>
    <w:rsid w:val="00547AA6"/>
    <w:rsid w:val="005535B0"/>
    <w:rsid w:val="00553E85"/>
    <w:rsid w:val="00555C2D"/>
    <w:rsid w:val="00555D5B"/>
    <w:rsid w:val="00570CD6"/>
    <w:rsid w:val="0057114D"/>
    <w:rsid w:val="00574A50"/>
    <w:rsid w:val="00582D3A"/>
    <w:rsid w:val="005911CF"/>
    <w:rsid w:val="00595CB8"/>
    <w:rsid w:val="00596CE7"/>
    <w:rsid w:val="005A333C"/>
    <w:rsid w:val="005A49F6"/>
    <w:rsid w:val="005A52C2"/>
    <w:rsid w:val="005B1C5F"/>
    <w:rsid w:val="005B66F6"/>
    <w:rsid w:val="005C2214"/>
    <w:rsid w:val="005C32AC"/>
    <w:rsid w:val="005C4ACF"/>
    <w:rsid w:val="005D1735"/>
    <w:rsid w:val="005D2513"/>
    <w:rsid w:val="005E3B4A"/>
    <w:rsid w:val="005E5329"/>
    <w:rsid w:val="005E741B"/>
    <w:rsid w:val="005E7920"/>
    <w:rsid w:val="005F52F2"/>
    <w:rsid w:val="00613D50"/>
    <w:rsid w:val="0061589A"/>
    <w:rsid w:val="00617002"/>
    <w:rsid w:val="0062261E"/>
    <w:rsid w:val="00631254"/>
    <w:rsid w:val="0064131A"/>
    <w:rsid w:val="00642188"/>
    <w:rsid w:val="006443BA"/>
    <w:rsid w:val="00645CF7"/>
    <w:rsid w:val="00646CE2"/>
    <w:rsid w:val="00647042"/>
    <w:rsid w:val="006613F5"/>
    <w:rsid w:val="0066182B"/>
    <w:rsid w:val="00666F14"/>
    <w:rsid w:val="00670156"/>
    <w:rsid w:val="006769D2"/>
    <w:rsid w:val="00684E4E"/>
    <w:rsid w:val="006A1FA8"/>
    <w:rsid w:val="006C26A7"/>
    <w:rsid w:val="006C360A"/>
    <w:rsid w:val="006D45FD"/>
    <w:rsid w:val="006E4790"/>
    <w:rsid w:val="006E5630"/>
    <w:rsid w:val="006F54AE"/>
    <w:rsid w:val="006F6798"/>
    <w:rsid w:val="00704AE4"/>
    <w:rsid w:val="00711551"/>
    <w:rsid w:val="00714BBE"/>
    <w:rsid w:val="0071629E"/>
    <w:rsid w:val="00720F5C"/>
    <w:rsid w:val="007233C1"/>
    <w:rsid w:val="00731876"/>
    <w:rsid w:val="00734E62"/>
    <w:rsid w:val="00741207"/>
    <w:rsid w:val="007462D1"/>
    <w:rsid w:val="0075277F"/>
    <w:rsid w:val="00757C78"/>
    <w:rsid w:val="007636DE"/>
    <w:rsid w:val="0076439B"/>
    <w:rsid w:val="00764548"/>
    <w:rsid w:val="00764F5E"/>
    <w:rsid w:val="00765FFE"/>
    <w:rsid w:val="0077001D"/>
    <w:rsid w:val="0078243B"/>
    <w:rsid w:val="00791DD7"/>
    <w:rsid w:val="007935C1"/>
    <w:rsid w:val="00794D81"/>
    <w:rsid w:val="00795687"/>
    <w:rsid w:val="00795CE4"/>
    <w:rsid w:val="007A3914"/>
    <w:rsid w:val="007A40A4"/>
    <w:rsid w:val="007B358B"/>
    <w:rsid w:val="007B4E6B"/>
    <w:rsid w:val="007C0396"/>
    <w:rsid w:val="007C0AEE"/>
    <w:rsid w:val="007C3C63"/>
    <w:rsid w:val="007C57F2"/>
    <w:rsid w:val="007C6EC4"/>
    <w:rsid w:val="007D16FF"/>
    <w:rsid w:val="007D793F"/>
    <w:rsid w:val="007E1CCE"/>
    <w:rsid w:val="007E438A"/>
    <w:rsid w:val="007E46C9"/>
    <w:rsid w:val="007E7FCD"/>
    <w:rsid w:val="007F1811"/>
    <w:rsid w:val="007F586C"/>
    <w:rsid w:val="007F5ACB"/>
    <w:rsid w:val="007F5D42"/>
    <w:rsid w:val="00812F77"/>
    <w:rsid w:val="00813B34"/>
    <w:rsid w:val="00814022"/>
    <w:rsid w:val="00814AAB"/>
    <w:rsid w:val="0082266D"/>
    <w:rsid w:val="0082440F"/>
    <w:rsid w:val="0083261D"/>
    <w:rsid w:val="008336E3"/>
    <w:rsid w:val="0084045E"/>
    <w:rsid w:val="00841DBD"/>
    <w:rsid w:val="008422AC"/>
    <w:rsid w:val="008434D7"/>
    <w:rsid w:val="008446C3"/>
    <w:rsid w:val="008501A8"/>
    <w:rsid w:val="008535C4"/>
    <w:rsid w:val="008647FA"/>
    <w:rsid w:val="008672DE"/>
    <w:rsid w:val="0087006D"/>
    <w:rsid w:val="0087098D"/>
    <w:rsid w:val="0087235E"/>
    <w:rsid w:val="0088000C"/>
    <w:rsid w:val="00892D14"/>
    <w:rsid w:val="008B3B89"/>
    <w:rsid w:val="008B3F65"/>
    <w:rsid w:val="008B574C"/>
    <w:rsid w:val="008B6DBB"/>
    <w:rsid w:val="008B7E8F"/>
    <w:rsid w:val="008C1022"/>
    <w:rsid w:val="008C165A"/>
    <w:rsid w:val="008C3EC6"/>
    <w:rsid w:val="008C7A5D"/>
    <w:rsid w:val="008C7FB5"/>
    <w:rsid w:val="008E1637"/>
    <w:rsid w:val="008E1AD5"/>
    <w:rsid w:val="008E70F8"/>
    <w:rsid w:val="008F2DEF"/>
    <w:rsid w:val="00902134"/>
    <w:rsid w:val="00902D26"/>
    <w:rsid w:val="00923476"/>
    <w:rsid w:val="00926CFB"/>
    <w:rsid w:val="00927029"/>
    <w:rsid w:val="009322ED"/>
    <w:rsid w:val="00936AEB"/>
    <w:rsid w:val="00936E24"/>
    <w:rsid w:val="009418B7"/>
    <w:rsid w:val="00941A10"/>
    <w:rsid w:val="00950D67"/>
    <w:rsid w:val="009518C4"/>
    <w:rsid w:val="00952082"/>
    <w:rsid w:val="009559A5"/>
    <w:rsid w:val="00956611"/>
    <w:rsid w:val="0096294D"/>
    <w:rsid w:val="00962DEE"/>
    <w:rsid w:val="00967F4B"/>
    <w:rsid w:val="00970DD6"/>
    <w:rsid w:val="00972DB5"/>
    <w:rsid w:val="00975946"/>
    <w:rsid w:val="00980793"/>
    <w:rsid w:val="00981EA2"/>
    <w:rsid w:val="00983053"/>
    <w:rsid w:val="00985168"/>
    <w:rsid w:val="009A43CD"/>
    <w:rsid w:val="009A4C62"/>
    <w:rsid w:val="009A6D92"/>
    <w:rsid w:val="009B56EB"/>
    <w:rsid w:val="009C0C3F"/>
    <w:rsid w:val="009C7177"/>
    <w:rsid w:val="009C7189"/>
    <w:rsid w:val="009D020E"/>
    <w:rsid w:val="009D226E"/>
    <w:rsid w:val="009D31AD"/>
    <w:rsid w:val="009D3307"/>
    <w:rsid w:val="009D3785"/>
    <w:rsid w:val="009D3A47"/>
    <w:rsid w:val="009D78D9"/>
    <w:rsid w:val="009E3EA8"/>
    <w:rsid w:val="009E73F1"/>
    <w:rsid w:val="009F0C14"/>
    <w:rsid w:val="009F459D"/>
    <w:rsid w:val="00A103C1"/>
    <w:rsid w:val="00A14990"/>
    <w:rsid w:val="00A164D5"/>
    <w:rsid w:val="00A313D2"/>
    <w:rsid w:val="00A317CB"/>
    <w:rsid w:val="00A41EC7"/>
    <w:rsid w:val="00A42E02"/>
    <w:rsid w:val="00A45FA1"/>
    <w:rsid w:val="00A46209"/>
    <w:rsid w:val="00A50C73"/>
    <w:rsid w:val="00A53F8B"/>
    <w:rsid w:val="00A649C1"/>
    <w:rsid w:val="00A66D47"/>
    <w:rsid w:val="00A677B6"/>
    <w:rsid w:val="00A917AB"/>
    <w:rsid w:val="00A92B4A"/>
    <w:rsid w:val="00A952AB"/>
    <w:rsid w:val="00AA2C42"/>
    <w:rsid w:val="00AC0768"/>
    <w:rsid w:val="00AC31D9"/>
    <w:rsid w:val="00AC3DB5"/>
    <w:rsid w:val="00AD2E04"/>
    <w:rsid w:val="00AD40BF"/>
    <w:rsid w:val="00AD6706"/>
    <w:rsid w:val="00AE12F7"/>
    <w:rsid w:val="00AE472B"/>
    <w:rsid w:val="00AE7DF5"/>
    <w:rsid w:val="00B0046C"/>
    <w:rsid w:val="00B0226A"/>
    <w:rsid w:val="00B07CE6"/>
    <w:rsid w:val="00B1164F"/>
    <w:rsid w:val="00B12226"/>
    <w:rsid w:val="00B12444"/>
    <w:rsid w:val="00B13C03"/>
    <w:rsid w:val="00B17350"/>
    <w:rsid w:val="00B22A28"/>
    <w:rsid w:val="00B26C55"/>
    <w:rsid w:val="00B3394F"/>
    <w:rsid w:val="00B355D0"/>
    <w:rsid w:val="00B36996"/>
    <w:rsid w:val="00B40849"/>
    <w:rsid w:val="00B434E3"/>
    <w:rsid w:val="00B4452E"/>
    <w:rsid w:val="00B45BD0"/>
    <w:rsid w:val="00B57ED2"/>
    <w:rsid w:val="00B663C5"/>
    <w:rsid w:val="00B75699"/>
    <w:rsid w:val="00B77523"/>
    <w:rsid w:val="00B77864"/>
    <w:rsid w:val="00B86D3E"/>
    <w:rsid w:val="00B87DB1"/>
    <w:rsid w:val="00B92B11"/>
    <w:rsid w:val="00BA08E9"/>
    <w:rsid w:val="00BB0EEA"/>
    <w:rsid w:val="00BB25D9"/>
    <w:rsid w:val="00BB2ED9"/>
    <w:rsid w:val="00BB5618"/>
    <w:rsid w:val="00BC0A46"/>
    <w:rsid w:val="00BC671D"/>
    <w:rsid w:val="00BC6CAA"/>
    <w:rsid w:val="00BD0F69"/>
    <w:rsid w:val="00BD50C0"/>
    <w:rsid w:val="00BD66AB"/>
    <w:rsid w:val="00BD6FCD"/>
    <w:rsid w:val="00BE350F"/>
    <w:rsid w:val="00BE6968"/>
    <w:rsid w:val="00BE79EB"/>
    <w:rsid w:val="00C0024A"/>
    <w:rsid w:val="00C03CFF"/>
    <w:rsid w:val="00C0762B"/>
    <w:rsid w:val="00C079EB"/>
    <w:rsid w:val="00C17A98"/>
    <w:rsid w:val="00C21B2B"/>
    <w:rsid w:val="00C27858"/>
    <w:rsid w:val="00C27F7B"/>
    <w:rsid w:val="00C34014"/>
    <w:rsid w:val="00C355B4"/>
    <w:rsid w:val="00C35D6E"/>
    <w:rsid w:val="00C37CE9"/>
    <w:rsid w:val="00C405BC"/>
    <w:rsid w:val="00C408E2"/>
    <w:rsid w:val="00C43CF0"/>
    <w:rsid w:val="00C45F75"/>
    <w:rsid w:val="00C46E60"/>
    <w:rsid w:val="00C551AE"/>
    <w:rsid w:val="00C55C91"/>
    <w:rsid w:val="00C57787"/>
    <w:rsid w:val="00C62FA3"/>
    <w:rsid w:val="00C6339B"/>
    <w:rsid w:val="00C65F54"/>
    <w:rsid w:val="00C75E05"/>
    <w:rsid w:val="00C76D49"/>
    <w:rsid w:val="00C77DAE"/>
    <w:rsid w:val="00C80283"/>
    <w:rsid w:val="00C87F9D"/>
    <w:rsid w:val="00C9073B"/>
    <w:rsid w:val="00C9161E"/>
    <w:rsid w:val="00C9174A"/>
    <w:rsid w:val="00C9789C"/>
    <w:rsid w:val="00CA59D6"/>
    <w:rsid w:val="00CB0B29"/>
    <w:rsid w:val="00CB2D50"/>
    <w:rsid w:val="00CB3FFA"/>
    <w:rsid w:val="00CB55F9"/>
    <w:rsid w:val="00CC44A9"/>
    <w:rsid w:val="00CC5729"/>
    <w:rsid w:val="00CD3A50"/>
    <w:rsid w:val="00CE0829"/>
    <w:rsid w:val="00CE1CBD"/>
    <w:rsid w:val="00CE3389"/>
    <w:rsid w:val="00CF4700"/>
    <w:rsid w:val="00CF5504"/>
    <w:rsid w:val="00CF6107"/>
    <w:rsid w:val="00D02DFF"/>
    <w:rsid w:val="00D06C4C"/>
    <w:rsid w:val="00D102FC"/>
    <w:rsid w:val="00D1617A"/>
    <w:rsid w:val="00D16492"/>
    <w:rsid w:val="00D2141C"/>
    <w:rsid w:val="00D23717"/>
    <w:rsid w:val="00D40121"/>
    <w:rsid w:val="00D408DB"/>
    <w:rsid w:val="00D4357E"/>
    <w:rsid w:val="00D51EEE"/>
    <w:rsid w:val="00D52E26"/>
    <w:rsid w:val="00D56EE7"/>
    <w:rsid w:val="00D57219"/>
    <w:rsid w:val="00D63AE7"/>
    <w:rsid w:val="00D652CE"/>
    <w:rsid w:val="00D70F15"/>
    <w:rsid w:val="00D7525B"/>
    <w:rsid w:val="00D8054A"/>
    <w:rsid w:val="00D819C4"/>
    <w:rsid w:val="00D85EB0"/>
    <w:rsid w:val="00D929CD"/>
    <w:rsid w:val="00D93B1E"/>
    <w:rsid w:val="00D96D73"/>
    <w:rsid w:val="00DA0C43"/>
    <w:rsid w:val="00DA2896"/>
    <w:rsid w:val="00DA5E4E"/>
    <w:rsid w:val="00DB1E35"/>
    <w:rsid w:val="00DB20B3"/>
    <w:rsid w:val="00DB415C"/>
    <w:rsid w:val="00DB71A7"/>
    <w:rsid w:val="00DC15E3"/>
    <w:rsid w:val="00DC4B21"/>
    <w:rsid w:val="00DC76A6"/>
    <w:rsid w:val="00DD22A6"/>
    <w:rsid w:val="00DD6711"/>
    <w:rsid w:val="00DD7102"/>
    <w:rsid w:val="00DE3C46"/>
    <w:rsid w:val="00DE4FB4"/>
    <w:rsid w:val="00DE76DA"/>
    <w:rsid w:val="00DE7E82"/>
    <w:rsid w:val="00DF6918"/>
    <w:rsid w:val="00DF6BB8"/>
    <w:rsid w:val="00E049F8"/>
    <w:rsid w:val="00E05052"/>
    <w:rsid w:val="00E10AE7"/>
    <w:rsid w:val="00E1285D"/>
    <w:rsid w:val="00E179FF"/>
    <w:rsid w:val="00E20F67"/>
    <w:rsid w:val="00E21EAC"/>
    <w:rsid w:val="00E22133"/>
    <w:rsid w:val="00E2276B"/>
    <w:rsid w:val="00E36468"/>
    <w:rsid w:val="00E368F1"/>
    <w:rsid w:val="00E37D0A"/>
    <w:rsid w:val="00E44313"/>
    <w:rsid w:val="00E525EC"/>
    <w:rsid w:val="00E55AD2"/>
    <w:rsid w:val="00E5699D"/>
    <w:rsid w:val="00E60A9C"/>
    <w:rsid w:val="00E61EF7"/>
    <w:rsid w:val="00E62DCA"/>
    <w:rsid w:val="00E631E0"/>
    <w:rsid w:val="00E6459F"/>
    <w:rsid w:val="00E66B20"/>
    <w:rsid w:val="00E66FF8"/>
    <w:rsid w:val="00E7227C"/>
    <w:rsid w:val="00E74D35"/>
    <w:rsid w:val="00E75348"/>
    <w:rsid w:val="00E76D3F"/>
    <w:rsid w:val="00E80F98"/>
    <w:rsid w:val="00E843DD"/>
    <w:rsid w:val="00E9410D"/>
    <w:rsid w:val="00EA0748"/>
    <w:rsid w:val="00EB12B9"/>
    <w:rsid w:val="00EB15F4"/>
    <w:rsid w:val="00EB2B7A"/>
    <w:rsid w:val="00EB4486"/>
    <w:rsid w:val="00EC08D0"/>
    <w:rsid w:val="00EC293D"/>
    <w:rsid w:val="00EC315B"/>
    <w:rsid w:val="00EC72E9"/>
    <w:rsid w:val="00ED003C"/>
    <w:rsid w:val="00ED0F58"/>
    <w:rsid w:val="00ED2750"/>
    <w:rsid w:val="00ED5880"/>
    <w:rsid w:val="00ED6503"/>
    <w:rsid w:val="00EE1F69"/>
    <w:rsid w:val="00EE475C"/>
    <w:rsid w:val="00EF1522"/>
    <w:rsid w:val="00EF5670"/>
    <w:rsid w:val="00F01A6E"/>
    <w:rsid w:val="00F031B7"/>
    <w:rsid w:val="00F051F1"/>
    <w:rsid w:val="00F135D7"/>
    <w:rsid w:val="00F235D7"/>
    <w:rsid w:val="00F252B2"/>
    <w:rsid w:val="00F25DF1"/>
    <w:rsid w:val="00F34A19"/>
    <w:rsid w:val="00F34DBA"/>
    <w:rsid w:val="00F36087"/>
    <w:rsid w:val="00F40A09"/>
    <w:rsid w:val="00F41430"/>
    <w:rsid w:val="00F422D7"/>
    <w:rsid w:val="00F42DBB"/>
    <w:rsid w:val="00F43207"/>
    <w:rsid w:val="00F448C7"/>
    <w:rsid w:val="00F46A4C"/>
    <w:rsid w:val="00F47553"/>
    <w:rsid w:val="00F5261E"/>
    <w:rsid w:val="00F56884"/>
    <w:rsid w:val="00F602DD"/>
    <w:rsid w:val="00F6117E"/>
    <w:rsid w:val="00F63D36"/>
    <w:rsid w:val="00F73987"/>
    <w:rsid w:val="00F74643"/>
    <w:rsid w:val="00F80668"/>
    <w:rsid w:val="00F82A2D"/>
    <w:rsid w:val="00F83218"/>
    <w:rsid w:val="00F84FAA"/>
    <w:rsid w:val="00F93A4C"/>
    <w:rsid w:val="00F94E98"/>
    <w:rsid w:val="00FA039A"/>
    <w:rsid w:val="00FA6511"/>
    <w:rsid w:val="00FB333E"/>
    <w:rsid w:val="00FC0D17"/>
    <w:rsid w:val="00FC4175"/>
    <w:rsid w:val="00FC7F6F"/>
    <w:rsid w:val="00FD13A4"/>
    <w:rsid w:val="00FD3A97"/>
    <w:rsid w:val="00FE092D"/>
    <w:rsid w:val="00FE2E02"/>
    <w:rsid w:val="00FF2FBC"/>
    <w:rsid w:val="00FF3D0B"/>
    <w:rsid w:val="00FF4E13"/>
    <w:rsid w:val="00FF68F6"/>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89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F2"/>
    <w:pPr>
      <w:ind w:left="720"/>
      <w:contextualSpacing/>
    </w:pPr>
  </w:style>
  <w:style w:type="paragraph" w:styleId="FootnoteText">
    <w:name w:val="footnote text"/>
    <w:basedOn w:val="Normal"/>
    <w:link w:val="FootnoteTextChar"/>
    <w:uiPriority w:val="99"/>
    <w:unhideWhenUsed/>
    <w:rsid w:val="001A28CD"/>
    <w:pPr>
      <w:contextualSpacing/>
    </w:pPr>
    <w:rPr>
      <w:rFonts w:cstheme="minorBidi"/>
      <w:sz w:val="20"/>
      <w:szCs w:val="20"/>
    </w:rPr>
  </w:style>
  <w:style w:type="character" w:customStyle="1" w:styleId="FootnoteTextChar">
    <w:name w:val="Footnote Text Char"/>
    <w:basedOn w:val="DefaultParagraphFont"/>
    <w:link w:val="FootnoteText"/>
    <w:uiPriority w:val="99"/>
    <w:rsid w:val="001A28CD"/>
    <w:rPr>
      <w:rFonts w:cstheme="minorBidi"/>
      <w:sz w:val="20"/>
      <w:szCs w:val="20"/>
    </w:rPr>
  </w:style>
  <w:style w:type="character" w:styleId="FootnoteReference">
    <w:name w:val="footnote reference"/>
    <w:basedOn w:val="DefaultParagraphFont"/>
    <w:uiPriority w:val="99"/>
    <w:semiHidden/>
    <w:unhideWhenUsed/>
    <w:rsid w:val="001A28CD"/>
    <w:rPr>
      <w:vertAlign w:val="superscript"/>
    </w:rPr>
  </w:style>
  <w:style w:type="character" w:customStyle="1" w:styleId="cohighlightpoints">
    <w:name w:val="co_highlightpoints"/>
    <w:basedOn w:val="DefaultParagraphFont"/>
    <w:rsid w:val="001A28CD"/>
  </w:style>
  <w:style w:type="paragraph" w:styleId="BalloonText">
    <w:name w:val="Balloon Text"/>
    <w:basedOn w:val="Normal"/>
    <w:link w:val="BalloonTextChar"/>
    <w:uiPriority w:val="99"/>
    <w:semiHidden/>
    <w:unhideWhenUsed/>
    <w:rsid w:val="00FA0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39A"/>
    <w:rPr>
      <w:rFonts w:ascii="Segoe UI" w:hAnsi="Segoe UI" w:cs="Segoe UI"/>
      <w:sz w:val="18"/>
      <w:szCs w:val="18"/>
    </w:rPr>
  </w:style>
  <w:style w:type="character" w:styleId="CommentReference">
    <w:name w:val="annotation reference"/>
    <w:basedOn w:val="DefaultParagraphFont"/>
    <w:uiPriority w:val="99"/>
    <w:semiHidden/>
    <w:unhideWhenUsed/>
    <w:rsid w:val="00FA039A"/>
    <w:rPr>
      <w:sz w:val="16"/>
      <w:szCs w:val="16"/>
    </w:rPr>
  </w:style>
  <w:style w:type="paragraph" w:styleId="CommentText">
    <w:name w:val="annotation text"/>
    <w:basedOn w:val="Normal"/>
    <w:link w:val="CommentTextChar"/>
    <w:uiPriority w:val="99"/>
    <w:semiHidden/>
    <w:unhideWhenUsed/>
    <w:rsid w:val="00FA039A"/>
    <w:rPr>
      <w:sz w:val="20"/>
      <w:szCs w:val="20"/>
    </w:rPr>
  </w:style>
  <w:style w:type="character" w:customStyle="1" w:styleId="CommentTextChar">
    <w:name w:val="Comment Text Char"/>
    <w:basedOn w:val="DefaultParagraphFont"/>
    <w:link w:val="CommentText"/>
    <w:uiPriority w:val="99"/>
    <w:semiHidden/>
    <w:rsid w:val="00FA039A"/>
    <w:rPr>
      <w:sz w:val="20"/>
      <w:szCs w:val="20"/>
    </w:rPr>
  </w:style>
  <w:style w:type="paragraph" w:styleId="CommentSubject">
    <w:name w:val="annotation subject"/>
    <w:basedOn w:val="CommentText"/>
    <w:next w:val="CommentText"/>
    <w:link w:val="CommentSubjectChar"/>
    <w:uiPriority w:val="99"/>
    <w:semiHidden/>
    <w:unhideWhenUsed/>
    <w:rsid w:val="00FA039A"/>
    <w:rPr>
      <w:b/>
      <w:bCs/>
    </w:rPr>
  </w:style>
  <w:style w:type="character" w:customStyle="1" w:styleId="CommentSubjectChar">
    <w:name w:val="Comment Subject Char"/>
    <w:basedOn w:val="CommentTextChar"/>
    <w:link w:val="CommentSubject"/>
    <w:uiPriority w:val="99"/>
    <w:semiHidden/>
    <w:rsid w:val="00FA039A"/>
    <w:rPr>
      <w:b/>
      <w:bCs/>
      <w:sz w:val="20"/>
      <w:szCs w:val="20"/>
    </w:rPr>
  </w:style>
  <w:style w:type="character" w:styleId="Hyperlink">
    <w:name w:val="Hyperlink"/>
    <w:basedOn w:val="DefaultParagraphFont"/>
    <w:uiPriority w:val="99"/>
    <w:unhideWhenUsed/>
    <w:rsid w:val="000F4F4E"/>
    <w:rPr>
      <w:color w:val="0000FF"/>
      <w:u w:val="single"/>
    </w:rPr>
  </w:style>
  <w:style w:type="paragraph" w:styleId="Header">
    <w:name w:val="header"/>
    <w:basedOn w:val="Normal"/>
    <w:link w:val="HeaderChar"/>
    <w:uiPriority w:val="99"/>
    <w:unhideWhenUsed/>
    <w:rsid w:val="007A3914"/>
    <w:pPr>
      <w:tabs>
        <w:tab w:val="center" w:pos="4680"/>
        <w:tab w:val="right" w:pos="9360"/>
      </w:tabs>
    </w:pPr>
  </w:style>
  <w:style w:type="character" w:customStyle="1" w:styleId="HeaderChar">
    <w:name w:val="Header Char"/>
    <w:basedOn w:val="DefaultParagraphFont"/>
    <w:link w:val="Header"/>
    <w:uiPriority w:val="99"/>
    <w:rsid w:val="007A3914"/>
  </w:style>
  <w:style w:type="paragraph" w:styleId="Footer">
    <w:name w:val="footer"/>
    <w:basedOn w:val="Normal"/>
    <w:link w:val="FooterChar"/>
    <w:uiPriority w:val="99"/>
    <w:unhideWhenUsed/>
    <w:rsid w:val="007A3914"/>
    <w:pPr>
      <w:tabs>
        <w:tab w:val="center" w:pos="4680"/>
        <w:tab w:val="right" w:pos="9360"/>
      </w:tabs>
    </w:pPr>
  </w:style>
  <w:style w:type="character" w:customStyle="1" w:styleId="FooterChar">
    <w:name w:val="Footer Char"/>
    <w:basedOn w:val="DefaultParagraphFont"/>
    <w:link w:val="Footer"/>
    <w:uiPriority w:val="99"/>
    <w:rsid w:val="007A3914"/>
  </w:style>
  <w:style w:type="character" w:styleId="FollowedHyperlink">
    <w:name w:val="FollowedHyperlink"/>
    <w:basedOn w:val="DefaultParagraphFont"/>
    <w:uiPriority w:val="99"/>
    <w:semiHidden/>
    <w:unhideWhenUsed/>
    <w:rsid w:val="002811DA"/>
    <w:rPr>
      <w:color w:val="954F72" w:themeColor="followedHyperlink"/>
      <w:u w:val="single"/>
    </w:rPr>
  </w:style>
  <w:style w:type="paragraph" w:styleId="NormalWeb">
    <w:name w:val="Normal (Web)"/>
    <w:basedOn w:val="Normal"/>
    <w:uiPriority w:val="99"/>
    <w:unhideWhenUsed/>
    <w:rsid w:val="001C6C4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4703">
      <w:bodyDiv w:val="1"/>
      <w:marLeft w:val="0"/>
      <w:marRight w:val="0"/>
      <w:marTop w:val="0"/>
      <w:marBottom w:val="0"/>
      <w:divBdr>
        <w:top w:val="none" w:sz="0" w:space="0" w:color="auto"/>
        <w:left w:val="none" w:sz="0" w:space="0" w:color="auto"/>
        <w:bottom w:val="none" w:sz="0" w:space="0" w:color="auto"/>
        <w:right w:val="none" w:sz="0" w:space="0" w:color="auto"/>
      </w:divBdr>
    </w:div>
    <w:div w:id="1500727695">
      <w:bodyDiv w:val="1"/>
      <w:marLeft w:val="0"/>
      <w:marRight w:val="0"/>
      <w:marTop w:val="0"/>
      <w:marBottom w:val="0"/>
      <w:divBdr>
        <w:top w:val="none" w:sz="0" w:space="0" w:color="auto"/>
        <w:left w:val="none" w:sz="0" w:space="0" w:color="auto"/>
        <w:bottom w:val="none" w:sz="0" w:space="0" w:color="auto"/>
        <w:right w:val="none" w:sz="0" w:space="0" w:color="auto"/>
      </w:divBdr>
    </w:div>
    <w:div w:id="172663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Cortavarria</dc:creator>
  <cp:keywords/>
  <dc:description/>
  <cp:lastModifiedBy>Andrew</cp:lastModifiedBy>
  <cp:revision>10</cp:revision>
  <dcterms:created xsi:type="dcterms:W3CDTF">2019-02-12T17:18:00Z</dcterms:created>
  <dcterms:modified xsi:type="dcterms:W3CDTF">2020-03-31T18:09:00Z</dcterms:modified>
</cp:coreProperties>
</file>