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F6DA7" w14:textId="77777777" w:rsidR="00A75745" w:rsidRDefault="00A75745" w:rsidP="00A75745">
      <w:pPr>
        <w:jc w:val="center"/>
        <w:rPr>
          <w:rFonts w:cs="Times New Roman"/>
          <w:b/>
        </w:rPr>
      </w:pPr>
      <w:r w:rsidRPr="00A06E48">
        <w:rPr>
          <w:rFonts w:cs="Times New Roman"/>
          <w:b/>
        </w:rPr>
        <w:t>An ACLU</w:t>
      </w:r>
      <w:r>
        <w:rPr>
          <w:rFonts w:cs="Times New Roman"/>
          <w:b/>
        </w:rPr>
        <w:t xml:space="preserve">-PA </w:t>
      </w:r>
      <w:r w:rsidRPr="00A06E48">
        <w:rPr>
          <w:rFonts w:cs="Times New Roman"/>
          <w:b/>
        </w:rPr>
        <w:t xml:space="preserve">Guide to </w:t>
      </w:r>
      <w:r>
        <w:rPr>
          <w:rFonts w:cs="Times New Roman"/>
          <w:b/>
        </w:rPr>
        <w:t>Determining Whether a Defendant is “Able to Pay”</w:t>
      </w:r>
    </w:p>
    <w:p w14:paraId="136E64D4" w14:textId="77777777" w:rsidR="00A75745" w:rsidRPr="00A06E48" w:rsidRDefault="00A75745" w:rsidP="00A75745">
      <w:pPr>
        <w:jc w:val="center"/>
        <w:rPr>
          <w:rFonts w:cs="Times New Roman"/>
          <w:b/>
        </w:rPr>
      </w:pPr>
      <w:r w:rsidRPr="00A06E48">
        <w:rPr>
          <w:rFonts w:cs="Times New Roman"/>
          <w:b/>
        </w:rPr>
        <w:t xml:space="preserve"> Fines, Costs, </w:t>
      </w:r>
      <w:r>
        <w:rPr>
          <w:rFonts w:cs="Times New Roman"/>
          <w:b/>
        </w:rPr>
        <w:t>or</w:t>
      </w:r>
      <w:r w:rsidRPr="00A06E48">
        <w:rPr>
          <w:rFonts w:cs="Times New Roman"/>
          <w:b/>
        </w:rPr>
        <w:t xml:space="preserve"> Restitution</w:t>
      </w:r>
    </w:p>
    <w:p w14:paraId="0D1EE599" w14:textId="77777777" w:rsidR="00A75745" w:rsidRPr="00A06E48" w:rsidRDefault="00A75745" w:rsidP="00A75745">
      <w:pPr>
        <w:rPr>
          <w:rFonts w:cs="Times New Roman"/>
          <w:b/>
        </w:rPr>
      </w:pPr>
    </w:p>
    <w:p w14:paraId="0B951C5A" w14:textId="39FCF64C" w:rsidR="00E56D3A" w:rsidRDefault="00794A7F" w:rsidP="00A75745">
      <w:pPr>
        <w:rPr>
          <w:rFonts w:cs="Times New Roman"/>
        </w:rPr>
      </w:pPr>
      <w:r>
        <w:rPr>
          <w:rFonts w:cs="Times New Roman"/>
        </w:rPr>
        <w:t xml:space="preserve">Whether a defendant is able to pay </w:t>
      </w:r>
      <w:r w:rsidRPr="00A06E48">
        <w:rPr>
          <w:rFonts w:cs="Times New Roman"/>
        </w:rPr>
        <w:t xml:space="preserve">fines, costs, or restitution </w:t>
      </w:r>
      <w:r>
        <w:rPr>
          <w:rFonts w:cs="Times New Roman"/>
        </w:rPr>
        <w:t xml:space="preserve">is a critical issue that arises in three contexts: </w:t>
      </w:r>
    </w:p>
    <w:p w14:paraId="6A33619C" w14:textId="77777777" w:rsidR="00E56D3A" w:rsidRDefault="00794A7F" w:rsidP="004753F3">
      <w:pPr>
        <w:ind w:left="720"/>
        <w:rPr>
          <w:rFonts w:cs="Times New Roman"/>
        </w:rPr>
      </w:pPr>
      <w:r>
        <w:rPr>
          <w:rFonts w:cs="Times New Roman"/>
        </w:rPr>
        <w:t xml:space="preserve">1) at sentencing, when imposing fines and costs; </w:t>
      </w:r>
    </w:p>
    <w:p w14:paraId="09CDD7C3" w14:textId="77777777" w:rsidR="00E56D3A" w:rsidRDefault="00794A7F" w:rsidP="004753F3">
      <w:pPr>
        <w:ind w:left="720"/>
        <w:rPr>
          <w:rFonts w:cs="Times New Roman"/>
        </w:rPr>
      </w:pPr>
      <w:r>
        <w:rPr>
          <w:rFonts w:cs="Times New Roman"/>
        </w:rPr>
        <w:t xml:space="preserve">2) when creating a payment plan either at or after sentencing; and </w:t>
      </w:r>
    </w:p>
    <w:p w14:paraId="47696C71" w14:textId="27052949" w:rsidR="00E56D3A" w:rsidRDefault="00794A7F" w:rsidP="004753F3">
      <w:pPr>
        <w:ind w:left="720"/>
        <w:rPr>
          <w:rFonts w:cs="Times New Roman"/>
        </w:rPr>
      </w:pPr>
      <w:r>
        <w:rPr>
          <w:rFonts w:cs="Times New Roman"/>
        </w:rPr>
        <w:t>3) at a</w:t>
      </w:r>
      <w:r w:rsidR="00B46050">
        <w:rPr>
          <w:rFonts w:cs="Times New Roman"/>
        </w:rPr>
        <w:t xml:space="preserve"> contempt or violation of probation</w:t>
      </w:r>
      <w:r>
        <w:rPr>
          <w:rFonts w:cs="Times New Roman"/>
        </w:rPr>
        <w:t xml:space="preserve"> hearing</w:t>
      </w:r>
      <w:r w:rsidR="004926F3">
        <w:rPr>
          <w:rFonts w:cs="Times New Roman"/>
        </w:rPr>
        <w:t xml:space="preserve"> after default</w:t>
      </w:r>
      <w:r>
        <w:rPr>
          <w:rFonts w:cs="Times New Roman"/>
        </w:rPr>
        <w:t xml:space="preserve"> under </w:t>
      </w:r>
      <w:r w:rsidRPr="00A06E48">
        <w:rPr>
          <w:rFonts w:cs="Times New Roman"/>
        </w:rPr>
        <w:t>Pa.R.Crim.P. 456 (for summary cases) or 706 (for non-summary criminal cases)</w:t>
      </w:r>
      <w:r w:rsidR="00B46050">
        <w:rPr>
          <w:rFonts w:cs="Times New Roman"/>
        </w:rPr>
        <w:t>.</w:t>
      </w:r>
    </w:p>
    <w:p w14:paraId="755AC41E" w14:textId="4910D276" w:rsidR="00794A7F" w:rsidRDefault="00D704E8" w:rsidP="00A75745">
      <w:pPr>
        <w:rPr>
          <w:rFonts w:cs="Times New Roman"/>
        </w:rPr>
      </w:pPr>
      <w:r>
        <w:rPr>
          <w:rFonts w:cs="Times New Roman"/>
        </w:rPr>
        <w:t xml:space="preserve">The question courts must ask is whether the defendant is financially able to pay. Indigent defendants who cannot afford to pay cannot be penalized for nonpayment. </w:t>
      </w:r>
      <w:r w:rsidR="00794A7F">
        <w:rPr>
          <w:rFonts w:cs="Times New Roman"/>
        </w:rPr>
        <w:t>If the defendant is able</w:t>
      </w:r>
      <w:r>
        <w:rPr>
          <w:rFonts w:cs="Times New Roman"/>
        </w:rPr>
        <w:t xml:space="preserve"> to pay</w:t>
      </w:r>
      <w:r w:rsidR="00794A7F">
        <w:rPr>
          <w:rFonts w:cs="Times New Roman"/>
        </w:rPr>
        <w:t>, then the court must determine how much the defendant can pay.</w:t>
      </w:r>
      <w:r w:rsidR="00C55BF7">
        <w:rPr>
          <w:rStyle w:val="FootnoteReference"/>
          <w:rFonts w:cs="Times New Roman"/>
        </w:rPr>
        <w:footnoteReference w:id="1"/>
      </w:r>
      <w:r w:rsidR="00794A7F">
        <w:rPr>
          <w:rFonts w:cs="Times New Roman"/>
        </w:rPr>
        <w:t xml:space="preserve"> </w:t>
      </w:r>
    </w:p>
    <w:p w14:paraId="3622B32D" w14:textId="34B09D82" w:rsidR="00326A82" w:rsidRDefault="00326A82" w:rsidP="00326A82">
      <w:pPr>
        <w:rPr>
          <w:rFonts w:cs="Times New Roman"/>
          <w:szCs w:val="24"/>
        </w:rPr>
      </w:pPr>
    </w:p>
    <w:p w14:paraId="76975BAA" w14:textId="77777777" w:rsidR="00153EFA" w:rsidRDefault="00153EFA" w:rsidP="00326A82">
      <w:pPr>
        <w:rPr>
          <w:rFonts w:cs="Times New Roman"/>
          <w:szCs w:val="24"/>
        </w:rPr>
      </w:pPr>
    </w:p>
    <w:p w14:paraId="6C409DFC" w14:textId="77777777" w:rsidR="00FF4F28" w:rsidRPr="00107564" w:rsidRDefault="00FF4F28" w:rsidP="00326A82">
      <w:pPr>
        <w:rPr>
          <w:rFonts w:cs="Times New Roman"/>
          <w:b/>
          <w:szCs w:val="24"/>
        </w:rPr>
      </w:pPr>
      <w:r w:rsidRPr="00107564">
        <w:rPr>
          <w:rFonts w:cs="Times New Roman"/>
          <w:b/>
          <w:szCs w:val="24"/>
        </w:rPr>
        <w:t>Determining ability to pay.</w:t>
      </w:r>
    </w:p>
    <w:p w14:paraId="05F9C82F" w14:textId="77777777" w:rsidR="00FF4F28" w:rsidRDefault="00FF4F28" w:rsidP="00326A82">
      <w:pPr>
        <w:rPr>
          <w:rFonts w:cs="Times New Roman"/>
          <w:szCs w:val="24"/>
        </w:rPr>
      </w:pPr>
    </w:p>
    <w:p w14:paraId="5A815B76" w14:textId="0A2A1C57" w:rsidR="0061398C" w:rsidRDefault="005630A7" w:rsidP="00EC4853">
      <w:pPr>
        <w:rPr>
          <w:rFonts w:cs="Times New Roman"/>
          <w:szCs w:val="24"/>
        </w:rPr>
      </w:pPr>
      <w:r>
        <w:rPr>
          <w:rFonts w:cs="Times New Roman"/>
          <w:szCs w:val="24"/>
        </w:rPr>
        <w:t xml:space="preserve">The Rules of Criminal Procedure ensure that </w:t>
      </w:r>
      <w:r w:rsidR="00F73D02">
        <w:rPr>
          <w:rFonts w:cs="Times New Roman"/>
          <w:szCs w:val="24"/>
        </w:rPr>
        <w:t>only those who have an ability to pay without hardship have the duty to do so.</w:t>
      </w:r>
      <w:r>
        <w:rPr>
          <w:rStyle w:val="FootnoteReference"/>
          <w:rFonts w:cs="Times New Roman"/>
          <w:szCs w:val="24"/>
        </w:rPr>
        <w:footnoteReference w:id="2"/>
      </w:r>
      <w:r>
        <w:rPr>
          <w:rFonts w:cs="Times New Roman"/>
          <w:szCs w:val="24"/>
        </w:rPr>
        <w:t xml:space="preserve"> To determine whether</w:t>
      </w:r>
      <w:r w:rsidR="00DC1A12">
        <w:rPr>
          <w:rFonts w:cs="Times New Roman"/>
          <w:szCs w:val="24"/>
        </w:rPr>
        <w:t xml:space="preserve"> and what</w:t>
      </w:r>
      <w:r>
        <w:rPr>
          <w:rFonts w:cs="Times New Roman"/>
          <w:szCs w:val="24"/>
        </w:rPr>
        <w:t xml:space="preserve"> a defendant is </w:t>
      </w:r>
      <w:r w:rsidR="00DC1A12">
        <w:rPr>
          <w:rFonts w:cs="Times New Roman"/>
          <w:szCs w:val="24"/>
        </w:rPr>
        <w:t>able to pay</w:t>
      </w:r>
      <w:r>
        <w:rPr>
          <w:rFonts w:cs="Times New Roman"/>
          <w:szCs w:val="24"/>
        </w:rPr>
        <w:t xml:space="preserve">, </w:t>
      </w:r>
      <w:r w:rsidR="00E56D3A">
        <w:rPr>
          <w:rFonts w:cs="Times New Roman"/>
          <w:szCs w:val="24"/>
        </w:rPr>
        <w:t xml:space="preserve">the </w:t>
      </w:r>
      <w:r>
        <w:rPr>
          <w:rFonts w:cs="Times New Roman"/>
          <w:szCs w:val="24"/>
        </w:rPr>
        <w:t>c</w:t>
      </w:r>
      <w:r w:rsidR="00EC4853">
        <w:rPr>
          <w:rFonts w:cs="Times New Roman"/>
          <w:szCs w:val="24"/>
        </w:rPr>
        <w:t>ourt must</w:t>
      </w:r>
      <w:r w:rsidR="00FB6736">
        <w:rPr>
          <w:rFonts w:cs="Times New Roman"/>
          <w:szCs w:val="24"/>
        </w:rPr>
        <w:t xml:space="preserve"> hold a hearing, </w:t>
      </w:r>
      <w:r w:rsidR="00EC4853">
        <w:rPr>
          <w:rFonts w:cs="Times New Roman"/>
          <w:szCs w:val="24"/>
        </w:rPr>
        <w:t>look at the defendant’s entire present financial picture</w:t>
      </w:r>
      <w:r w:rsidR="002E6A0E">
        <w:rPr>
          <w:rFonts w:cs="Times New Roman"/>
          <w:szCs w:val="24"/>
        </w:rPr>
        <w:t xml:space="preserve"> and “life circumstances</w:t>
      </w:r>
      <w:r w:rsidR="00FB6736">
        <w:rPr>
          <w:rFonts w:cs="Times New Roman"/>
          <w:szCs w:val="24"/>
        </w:rPr>
        <w:t>,</w:t>
      </w:r>
      <w:r w:rsidR="002E6A0E">
        <w:rPr>
          <w:rFonts w:cs="Times New Roman"/>
          <w:szCs w:val="24"/>
        </w:rPr>
        <w:t>”</w:t>
      </w:r>
      <w:r w:rsidR="002A40AF" w:rsidRPr="002A40AF">
        <w:rPr>
          <w:rStyle w:val="FootnoteReference"/>
          <w:rFonts w:cs="Times New Roman"/>
          <w:szCs w:val="24"/>
        </w:rPr>
        <w:t xml:space="preserve"> </w:t>
      </w:r>
      <w:r w:rsidR="002A40AF">
        <w:rPr>
          <w:rStyle w:val="FootnoteReference"/>
          <w:rFonts w:cs="Times New Roman"/>
          <w:szCs w:val="24"/>
        </w:rPr>
        <w:footnoteReference w:id="3"/>
      </w:r>
      <w:r w:rsidR="00FB6736">
        <w:rPr>
          <w:rFonts w:cs="Times New Roman"/>
          <w:szCs w:val="24"/>
        </w:rPr>
        <w:t xml:space="preserve"> and make findings on the record.</w:t>
      </w:r>
      <w:r w:rsidR="002A40AF">
        <w:rPr>
          <w:rStyle w:val="FootnoteReference"/>
          <w:rFonts w:cs="Times New Roman"/>
          <w:szCs w:val="24"/>
        </w:rPr>
        <w:footnoteReference w:id="4"/>
      </w:r>
      <w:r w:rsidR="00EC4853">
        <w:rPr>
          <w:rFonts w:cs="Times New Roman"/>
          <w:szCs w:val="24"/>
        </w:rPr>
        <w:t xml:space="preserve"> </w:t>
      </w:r>
    </w:p>
    <w:p w14:paraId="2F9E9409" w14:textId="77777777" w:rsidR="0061398C" w:rsidRDefault="0061398C" w:rsidP="00EC4853">
      <w:pPr>
        <w:rPr>
          <w:rFonts w:cs="Times New Roman"/>
          <w:szCs w:val="24"/>
        </w:rPr>
      </w:pPr>
    </w:p>
    <w:p w14:paraId="71A1F2C3" w14:textId="7C311EE9" w:rsidR="0061398C" w:rsidRDefault="00EC4853" w:rsidP="0061398C">
      <w:pPr>
        <w:pStyle w:val="ListParagraph"/>
        <w:numPr>
          <w:ilvl w:val="0"/>
          <w:numId w:val="6"/>
        </w:numPr>
        <w:rPr>
          <w:rFonts w:cs="Times New Roman"/>
          <w:szCs w:val="24"/>
        </w:rPr>
      </w:pPr>
      <w:r w:rsidRPr="0061398C">
        <w:rPr>
          <w:rFonts w:cs="Times New Roman"/>
          <w:szCs w:val="24"/>
        </w:rPr>
        <w:t>It is not enough to know that the defendant is employed; instead, the court must look at all of the defendant’</w:t>
      </w:r>
      <w:r w:rsidR="00421FD9" w:rsidRPr="0061398C">
        <w:rPr>
          <w:rFonts w:cs="Times New Roman"/>
          <w:szCs w:val="24"/>
        </w:rPr>
        <w:t xml:space="preserve">s </w:t>
      </w:r>
      <w:r w:rsidR="004926F3">
        <w:rPr>
          <w:rFonts w:cs="Times New Roman"/>
          <w:szCs w:val="24"/>
        </w:rPr>
        <w:t xml:space="preserve">present </w:t>
      </w:r>
      <w:r w:rsidR="00421FD9" w:rsidRPr="0061398C">
        <w:rPr>
          <w:rFonts w:cs="Times New Roman"/>
          <w:szCs w:val="24"/>
        </w:rPr>
        <w:t>income and expenses</w:t>
      </w:r>
      <w:r w:rsidR="005630A7" w:rsidRPr="0061398C">
        <w:rPr>
          <w:rFonts w:cs="Times New Roman"/>
          <w:szCs w:val="24"/>
        </w:rPr>
        <w:t>, even if</w:t>
      </w:r>
      <w:r w:rsidR="00BA2083">
        <w:rPr>
          <w:rFonts w:cs="Times New Roman"/>
          <w:szCs w:val="24"/>
        </w:rPr>
        <w:t xml:space="preserve"> the court</w:t>
      </w:r>
      <w:r w:rsidR="005630A7" w:rsidRPr="0061398C">
        <w:rPr>
          <w:rFonts w:cs="Times New Roman"/>
          <w:szCs w:val="24"/>
        </w:rPr>
        <w:t xml:space="preserve"> is “well acquainted” with the defendant</w:t>
      </w:r>
      <w:r w:rsidR="00421FD9" w:rsidRPr="0061398C">
        <w:rPr>
          <w:rFonts w:cs="Times New Roman"/>
          <w:szCs w:val="24"/>
        </w:rPr>
        <w:t>.</w:t>
      </w:r>
      <w:r w:rsidR="005630A7">
        <w:rPr>
          <w:rStyle w:val="FootnoteReference"/>
          <w:rFonts w:cs="Times New Roman"/>
          <w:szCs w:val="24"/>
        </w:rPr>
        <w:footnoteReference w:id="5"/>
      </w:r>
      <w:r w:rsidR="00421FD9" w:rsidRPr="0061398C">
        <w:rPr>
          <w:rFonts w:cs="Times New Roman"/>
          <w:szCs w:val="24"/>
        </w:rPr>
        <w:t xml:space="preserve"> </w:t>
      </w:r>
    </w:p>
    <w:p w14:paraId="6CEB0658" w14:textId="6EAA686B" w:rsidR="00E67476" w:rsidRPr="00E16C55" w:rsidRDefault="0061398C" w:rsidP="00E67476">
      <w:pPr>
        <w:pStyle w:val="ListParagraph"/>
        <w:numPr>
          <w:ilvl w:val="0"/>
          <w:numId w:val="8"/>
        </w:numPr>
        <w:rPr>
          <w:rFonts w:cs="Times New Roman"/>
          <w:szCs w:val="24"/>
        </w:rPr>
      </w:pPr>
      <w:r>
        <w:rPr>
          <w:rFonts w:cs="Times New Roman"/>
          <w:szCs w:val="24"/>
        </w:rPr>
        <w:t>When evaluating the</w:t>
      </w:r>
      <w:r w:rsidR="00E56D3A">
        <w:rPr>
          <w:rFonts w:cs="Times New Roman"/>
          <w:szCs w:val="24"/>
        </w:rPr>
        <w:t xml:space="preserve"> defendant’s</w:t>
      </w:r>
      <w:r>
        <w:rPr>
          <w:rFonts w:cs="Times New Roman"/>
          <w:szCs w:val="24"/>
        </w:rPr>
        <w:t xml:space="preserve"> finances, </w:t>
      </w:r>
      <w:r w:rsidR="00BA2083">
        <w:rPr>
          <w:rFonts w:cs="Times New Roman"/>
          <w:szCs w:val="24"/>
        </w:rPr>
        <w:t>the</w:t>
      </w:r>
      <w:r>
        <w:rPr>
          <w:rFonts w:cs="Times New Roman"/>
          <w:szCs w:val="24"/>
        </w:rPr>
        <w:t xml:space="preserve"> court </w:t>
      </w:r>
      <w:r w:rsidR="004926F3">
        <w:rPr>
          <w:rFonts w:cs="Times New Roman"/>
          <w:szCs w:val="24"/>
        </w:rPr>
        <w:t>cannot</w:t>
      </w:r>
      <w:r w:rsidR="00107564">
        <w:rPr>
          <w:rFonts w:cs="Times New Roman"/>
          <w:szCs w:val="24"/>
        </w:rPr>
        <w:t xml:space="preserve"> </w:t>
      </w:r>
      <w:r>
        <w:rPr>
          <w:rFonts w:cs="Times New Roman"/>
          <w:szCs w:val="24"/>
        </w:rPr>
        <w:t xml:space="preserve">ignore </w:t>
      </w:r>
      <w:r>
        <w:rPr>
          <w:rFonts w:eastAsia="Times New Roman" w:cs="Times New Roman"/>
          <w:szCs w:val="24"/>
        </w:rPr>
        <w:t>“</w:t>
      </w:r>
      <w:r>
        <w:t>the ordinary expenses attendant on everyday life.”</w:t>
      </w:r>
      <w:r>
        <w:rPr>
          <w:rStyle w:val="FootnoteReference"/>
        </w:rPr>
        <w:footnoteReference w:id="6"/>
      </w:r>
      <w:r w:rsidR="00E67476">
        <w:t xml:space="preserve"> Instead, the court must view “</w:t>
      </w:r>
      <w:r w:rsidR="00E67476" w:rsidRPr="00E67476">
        <w:t>all the facts and circumstances of the situation, both financial and personal</w:t>
      </w:r>
      <w:r w:rsidR="00E67476">
        <w:t>.”</w:t>
      </w:r>
      <w:r w:rsidR="00E67476">
        <w:rPr>
          <w:rStyle w:val="FootnoteReference"/>
        </w:rPr>
        <w:footnoteReference w:id="7"/>
      </w:r>
    </w:p>
    <w:p w14:paraId="63340B56" w14:textId="0025D373" w:rsidR="00123570" w:rsidRDefault="00123570" w:rsidP="00E16C55">
      <w:pPr>
        <w:pStyle w:val="ListParagraph"/>
        <w:numPr>
          <w:ilvl w:val="1"/>
          <w:numId w:val="8"/>
        </w:numPr>
        <w:rPr>
          <w:rFonts w:cs="Times New Roman"/>
          <w:szCs w:val="24"/>
        </w:rPr>
      </w:pPr>
      <w:r>
        <w:rPr>
          <w:rFonts w:cs="Times New Roman"/>
          <w:szCs w:val="24"/>
        </w:rPr>
        <w:lastRenderedPageBreak/>
        <w:t>The court must look at the defendant’s day-to-day expenses,</w:t>
      </w:r>
      <w:r>
        <w:rPr>
          <w:rStyle w:val="FootnoteReference"/>
          <w:rFonts w:cs="Times New Roman"/>
          <w:szCs w:val="24"/>
        </w:rPr>
        <w:footnoteReference w:id="8"/>
      </w:r>
      <w:r>
        <w:rPr>
          <w:rFonts w:cs="Times New Roman"/>
          <w:szCs w:val="24"/>
        </w:rPr>
        <w:t xml:space="preserve"> including rent, utilities, the cost of health insurance,</w:t>
      </w:r>
      <w:r>
        <w:rPr>
          <w:rStyle w:val="FootnoteReference"/>
          <w:rFonts w:cs="Times New Roman"/>
          <w:szCs w:val="24"/>
        </w:rPr>
        <w:footnoteReference w:id="9"/>
      </w:r>
      <w:r>
        <w:rPr>
          <w:rFonts w:cs="Times New Roman"/>
          <w:szCs w:val="24"/>
        </w:rPr>
        <w:t xml:space="preserve"> and the cost of transportation.</w:t>
      </w:r>
      <w:r>
        <w:rPr>
          <w:rStyle w:val="FootnoteReference"/>
          <w:rFonts w:cs="Times New Roman"/>
          <w:szCs w:val="24"/>
        </w:rPr>
        <w:footnoteReference w:id="10"/>
      </w:r>
      <w:r>
        <w:rPr>
          <w:rFonts w:cs="Times New Roman"/>
          <w:szCs w:val="24"/>
        </w:rPr>
        <w:t xml:space="preserve"> </w:t>
      </w:r>
      <w:r w:rsidR="00263133">
        <w:rPr>
          <w:rFonts w:cs="Times New Roman"/>
          <w:szCs w:val="24"/>
        </w:rPr>
        <w:t>Those expenses</w:t>
      </w:r>
      <w:r w:rsidR="004926F3">
        <w:rPr>
          <w:rFonts w:cs="Times New Roman"/>
          <w:szCs w:val="24"/>
        </w:rPr>
        <w:t xml:space="preserve"> may</w:t>
      </w:r>
      <w:r w:rsidR="00263133">
        <w:rPr>
          <w:rFonts w:cs="Times New Roman"/>
          <w:szCs w:val="24"/>
        </w:rPr>
        <w:t xml:space="preserve"> include</w:t>
      </w:r>
      <w:r>
        <w:rPr>
          <w:rFonts w:cs="Times New Roman"/>
          <w:szCs w:val="24"/>
        </w:rPr>
        <w:t xml:space="preserve"> dependent care: children “obviously need to eat and be clothed.”</w:t>
      </w:r>
      <w:r>
        <w:rPr>
          <w:rStyle w:val="FootnoteReference"/>
          <w:rFonts w:cs="Times New Roman"/>
          <w:szCs w:val="24"/>
        </w:rPr>
        <w:footnoteReference w:id="11"/>
      </w:r>
    </w:p>
    <w:p w14:paraId="18555B65" w14:textId="77777777" w:rsidR="00263133" w:rsidRDefault="00E16C55" w:rsidP="00E16C55">
      <w:pPr>
        <w:pStyle w:val="ListParagraph"/>
        <w:numPr>
          <w:ilvl w:val="1"/>
          <w:numId w:val="8"/>
        </w:numPr>
        <w:rPr>
          <w:rFonts w:cs="Times New Roman"/>
          <w:szCs w:val="24"/>
        </w:rPr>
      </w:pPr>
      <w:r>
        <w:rPr>
          <w:rFonts w:cs="Times New Roman"/>
          <w:szCs w:val="24"/>
        </w:rPr>
        <w:t xml:space="preserve">Pennsylvania’s appellate courts have looked at other debts </w:t>
      </w:r>
      <w:r w:rsidR="0090425A">
        <w:rPr>
          <w:rFonts w:cs="Times New Roman"/>
          <w:szCs w:val="24"/>
        </w:rPr>
        <w:t>the</w:t>
      </w:r>
      <w:r>
        <w:rPr>
          <w:rFonts w:cs="Times New Roman"/>
          <w:szCs w:val="24"/>
        </w:rPr>
        <w:t xml:space="preserve"> defendant owes,</w:t>
      </w:r>
      <w:r>
        <w:rPr>
          <w:rStyle w:val="FootnoteReference"/>
          <w:rFonts w:cs="Times New Roman"/>
          <w:szCs w:val="24"/>
        </w:rPr>
        <w:footnoteReference w:id="12"/>
      </w:r>
      <w:r>
        <w:rPr>
          <w:rFonts w:cs="Times New Roman"/>
          <w:szCs w:val="24"/>
        </w:rPr>
        <w:t xml:space="preserve"> </w:t>
      </w:r>
      <w:r w:rsidR="0090425A">
        <w:rPr>
          <w:rFonts w:cs="Times New Roman"/>
          <w:szCs w:val="24"/>
        </w:rPr>
        <w:t xml:space="preserve">as well as assets such as automobiles </w:t>
      </w:r>
      <w:r w:rsidR="00BD5FFC">
        <w:rPr>
          <w:rFonts w:cs="Times New Roman"/>
          <w:szCs w:val="24"/>
        </w:rPr>
        <w:t>and whether they are used</w:t>
      </w:r>
      <w:r w:rsidR="00123570">
        <w:rPr>
          <w:rFonts w:cs="Times New Roman"/>
          <w:szCs w:val="24"/>
        </w:rPr>
        <w:t xml:space="preserve"> for basic life needs such as</w:t>
      </w:r>
      <w:r w:rsidR="00BD5FFC">
        <w:rPr>
          <w:rFonts w:cs="Times New Roman"/>
          <w:szCs w:val="24"/>
        </w:rPr>
        <w:t xml:space="preserve"> transportation to obtain food and medical care.</w:t>
      </w:r>
      <w:r w:rsidR="00BD5FFC">
        <w:rPr>
          <w:rStyle w:val="FootnoteReference"/>
          <w:rFonts w:cs="Times New Roman"/>
          <w:szCs w:val="24"/>
        </w:rPr>
        <w:footnoteReference w:id="13"/>
      </w:r>
      <w:r w:rsidR="00BD5FFC">
        <w:rPr>
          <w:rFonts w:cs="Times New Roman"/>
          <w:szCs w:val="24"/>
        </w:rPr>
        <w:t xml:space="preserve"> </w:t>
      </w:r>
    </w:p>
    <w:p w14:paraId="75052FA3" w14:textId="3C8F729E" w:rsidR="00E16C55" w:rsidRDefault="00263133" w:rsidP="00E16C55">
      <w:pPr>
        <w:pStyle w:val="ListParagraph"/>
        <w:numPr>
          <w:ilvl w:val="1"/>
          <w:numId w:val="8"/>
        </w:numPr>
        <w:rPr>
          <w:rFonts w:cs="Times New Roman"/>
          <w:szCs w:val="24"/>
        </w:rPr>
      </w:pPr>
      <w:r>
        <w:rPr>
          <w:rFonts w:cs="Times New Roman"/>
          <w:szCs w:val="24"/>
        </w:rPr>
        <w:t>Whether a defendant will be or has been recently incarcerated is also relevant to determining that individual’s ability to pay</w:t>
      </w:r>
      <w:r w:rsidR="00BD5FFC">
        <w:rPr>
          <w:rFonts w:cs="Times New Roman"/>
          <w:szCs w:val="24"/>
        </w:rPr>
        <w:t>.</w:t>
      </w:r>
      <w:r w:rsidR="00BD5FFC">
        <w:rPr>
          <w:rStyle w:val="FootnoteReference"/>
          <w:rFonts w:cs="Times New Roman"/>
          <w:szCs w:val="24"/>
        </w:rPr>
        <w:footnoteReference w:id="14"/>
      </w:r>
    </w:p>
    <w:p w14:paraId="0F5F4034" w14:textId="77777777" w:rsidR="00EC4853" w:rsidRPr="0061398C" w:rsidRDefault="00421FD9" w:rsidP="00E67476">
      <w:pPr>
        <w:pStyle w:val="ListParagraph"/>
        <w:numPr>
          <w:ilvl w:val="0"/>
          <w:numId w:val="8"/>
        </w:numPr>
        <w:rPr>
          <w:rFonts w:cs="Times New Roman"/>
          <w:szCs w:val="24"/>
        </w:rPr>
      </w:pPr>
      <w:r w:rsidRPr="0061398C">
        <w:rPr>
          <w:rFonts w:cs="Times New Roman"/>
          <w:szCs w:val="24"/>
        </w:rPr>
        <w:t>Courts should have the defendant complete an ability-to-pay evaluation form to ha</w:t>
      </w:r>
      <w:r w:rsidR="005630A7" w:rsidRPr="0061398C">
        <w:rPr>
          <w:rFonts w:cs="Times New Roman"/>
          <w:szCs w:val="24"/>
        </w:rPr>
        <w:t>ve</w:t>
      </w:r>
      <w:r w:rsidRPr="0061398C">
        <w:rPr>
          <w:rFonts w:cs="Times New Roman"/>
          <w:szCs w:val="24"/>
        </w:rPr>
        <w:t xml:space="preserve"> enough information to evaluate the defendant’s finances.</w:t>
      </w:r>
      <w:r>
        <w:rPr>
          <w:rStyle w:val="FootnoteReference"/>
          <w:rFonts w:cs="Times New Roman"/>
          <w:szCs w:val="24"/>
        </w:rPr>
        <w:footnoteReference w:id="15"/>
      </w:r>
      <w:r w:rsidR="005630A7" w:rsidRPr="0061398C">
        <w:rPr>
          <w:rFonts w:cs="Times New Roman"/>
          <w:szCs w:val="24"/>
        </w:rPr>
        <w:t xml:space="preserve"> </w:t>
      </w:r>
    </w:p>
    <w:p w14:paraId="542EC376" w14:textId="77777777" w:rsidR="005630A7" w:rsidRDefault="005630A7" w:rsidP="00EC4853">
      <w:pPr>
        <w:rPr>
          <w:rFonts w:cs="Times New Roman"/>
          <w:szCs w:val="24"/>
        </w:rPr>
      </w:pPr>
    </w:p>
    <w:p w14:paraId="210D6507" w14:textId="2B351531" w:rsidR="00C94E06" w:rsidRDefault="0059641D" w:rsidP="00EC4853">
      <w:pPr>
        <w:rPr>
          <w:rFonts w:cs="Times New Roman"/>
          <w:szCs w:val="24"/>
        </w:rPr>
      </w:pPr>
      <w:r>
        <w:rPr>
          <w:rFonts w:cs="Times New Roman"/>
          <w:szCs w:val="24"/>
        </w:rPr>
        <w:t xml:space="preserve">The relevant inquiry must focus only on the </w:t>
      </w:r>
      <w:r w:rsidR="00C94E06" w:rsidRPr="00107564">
        <w:rPr>
          <w:rFonts w:cs="Times New Roman"/>
          <w:i/>
          <w:szCs w:val="24"/>
        </w:rPr>
        <w:t>defendant’</w:t>
      </w:r>
      <w:r w:rsidRPr="00107564">
        <w:rPr>
          <w:rFonts w:cs="Times New Roman"/>
          <w:i/>
          <w:szCs w:val="24"/>
        </w:rPr>
        <w:t>s</w:t>
      </w:r>
      <w:r>
        <w:rPr>
          <w:rFonts w:cs="Times New Roman"/>
          <w:szCs w:val="24"/>
        </w:rPr>
        <w:t xml:space="preserve"> finances.</w:t>
      </w:r>
      <w:r>
        <w:rPr>
          <w:rStyle w:val="FootnoteReference"/>
          <w:rFonts w:cs="Times New Roman"/>
          <w:szCs w:val="24"/>
        </w:rPr>
        <w:footnoteReference w:id="16"/>
      </w:r>
      <w:r w:rsidR="00C94E06">
        <w:rPr>
          <w:rFonts w:cs="Times New Roman"/>
          <w:szCs w:val="24"/>
        </w:rPr>
        <w:t xml:space="preserve"> </w:t>
      </w:r>
      <w:r>
        <w:rPr>
          <w:rFonts w:cs="Times New Roman"/>
          <w:szCs w:val="24"/>
        </w:rPr>
        <w:t xml:space="preserve">While it is appropriate to consider household support from other individuals, courts </w:t>
      </w:r>
      <w:r w:rsidR="00896D1E">
        <w:rPr>
          <w:rFonts w:cs="Times New Roman"/>
          <w:szCs w:val="24"/>
        </w:rPr>
        <w:t>can</w:t>
      </w:r>
      <w:r>
        <w:rPr>
          <w:rFonts w:cs="Times New Roman"/>
          <w:szCs w:val="24"/>
        </w:rPr>
        <w:t>not ordinarily impute income from friends or family.</w:t>
      </w:r>
      <w:r w:rsidR="00A52EC2">
        <w:rPr>
          <w:rStyle w:val="FootnoteReference"/>
          <w:rFonts w:cs="Times New Roman"/>
          <w:szCs w:val="24"/>
        </w:rPr>
        <w:footnoteReference w:id="17"/>
      </w:r>
      <w:r>
        <w:rPr>
          <w:rFonts w:cs="Times New Roman"/>
          <w:szCs w:val="24"/>
        </w:rPr>
        <w:t xml:space="preserve">  </w:t>
      </w:r>
    </w:p>
    <w:p w14:paraId="224EF84D" w14:textId="253A3D10" w:rsidR="008D705C" w:rsidRDefault="008D705C" w:rsidP="00EC4853">
      <w:pPr>
        <w:rPr>
          <w:rFonts w:cs="Times New Roman"/>
          <w:szCs w:val="24"/>
        </w:rPr>
      </w:pPr>
    </w:p>
    <w:p w14:paraId="46455D43" w14:textId="77777777" w:rsidR="00153EFA" w:rsidRDefault="00153EFA" w:rsidP="00EC4853">
      <w:pPr>
        <w:rPr>
          <w:rFonts w:cs="Times New Roman"/>
          <w:szCs w:val="24"/>
        </w:rPr>
      </w:pPr>
    </w:p>
    <w:p w14:paraId="3D4569B2" w14:textId="26A0E6BF" w:rsidR="008D705C" w:rsidRPr="008D705C" w:rsidRDefault="008D705C" w:rsidP="008D705C">
      <w:pPr>
        <w:rPr>
          <w:rFonts w:cs="Times New Roman"/>
          <w:szCs w:val="24"/>
        </w:rPr>
      </w:pPr>
      <w:r w:rsidRPr="00107564">
        <w:rPr>
          <w:rFonts w:cs="Times New Roman"/>
          <w:b/>
          <w:szCs w:val="24"/>
        </w:rPr>
        <w:t>Payment plans for non-indigent defendants must be tailored to the defendant’s individual financial circumstances.</w:t>
      </w:r>
    </w:p>
    <w:p w14:paraId="2AF4A223" w14:textId="77777777" w:rsidR="008D705C" w:rsidRDefault="008D705C" w:rsidP="008D705C">
      <w:pPr>
        <w:rPr>
          <w:rFonts w:cs="Times New Roman"/>
          <w:szCs w:val="24"/>
        </w:rPr>
      </w:pPr>
    </w:p>
    <w:p w14:paraId="05FCF5B4" w14:textId="78566567" w:rsidR="008D705C" w:rsidRDefault="008D705C" w:rsidP="008D705C">
      <w:r>
        <w:t xml:space="preserve">Courts are required to set payment plans when defendants </w:t>
      </w:r>
      <w:r w:rsidR="00BA2083">
        <w:t>cannot</w:t>
      </w:r>
      <w:r>
        <w:t xml:space="preserve"> afford to pay</w:t>
      </w:r>
      <w:r w:rsidR="00DD5148">
        <w:t xml:space="preserve"> in full</w:t>
      </w:r>
      <w:r>
        <w:t xml:space="preserve"> </w:t>
      </w:r>
      <w:r w:rsidR="00DD5148">
        <w:t>at</w:t>
      </w:r>
      <w:r>
        <w:t xml:space="preserve"> sentencing.</w:t>
      </w:r>
      <w:r>
        <w:rPr>
          <w:rStyle w:val="FootnoteReference"/>
        </w:rPr>
        <w:footnoteReference w:id="18"/>
      </w:r>
      <w:r>
        <w:t xml:space="preserve"> While the defendant </w:t>
      </w:r>
      <w:r w:rsidR="00DD5148">
        <w:t>can agree</w:t>
      </w:r>
      <w:r>
        <w:t xml:space="preserve"> to a payment plan, the court must follow the procedures set forth by the Rules of Criminal Procedure:</w:t>
      </w:r>
    </w:p>
    <w:p w14:paraId="546ABDD3" w14:textId="77777777" w:rsidR="008D705C" w:rsidRDefault="008D705C" w:rsidP="008D705C"/>
    <w:p w14:paraId="3F9DA6C3" w14:textId="77777777" w:rsidR="000817F7" w:rsidRDefault="000817F7" w:rsidP="000817F7">
      <w:pPr>
        <w:pStyle w:val="ListParagraph"/>
        <w:numPr>
          <w:ilvl w:val="0"/>
          <w:numId w:val="10"/>
        </w:numPr>
      </w:pPr>
      <w:r>
        <w:t>Payment plans must be “reasonable” in light of the defendant’s financial circumstances.</w:t>
      </w:r>
      <w:r>
        <w:rPr>
          <w:rStyle w:val="FootnoteReference"/>
        </w:rPr>
        <w:footnoteReference w:id="19"/>
      </w:r>
      <w:r>
        <w:t xml:space="preserve"> </w:t>
      </w:r>
    </w:p>
    <w:p w14:paraId="1E0133C7" w14:textId="77777777" w:rsidR="008D705C" w:rsidRDefault="008D705C" w:rsidP="008D705C">
      <w:pPr>
        <w:pStyle w:val="ListParagraph"/>
        <w:numPr>
          <w:ilvl w:val="0"/>
          <w:numId w:val="10"/>
        </w:numPr>
      </w:pPr>
      <w:r>
        <w:t>A court can impose a payment plan only after an ability to pay hearing.</w:t>
      </w:r>
      <w:r>
        <w:rPr>
          <w:rStyle w:val="FootnoteReference"/>
        </w:rPr>
        <w:footnoteReference w:id="20"/>
      </w:r>
      <w:r>
        <w:t xml:space="preserve"> Without a hearing, the court would lack any information about the defendant’s finances and what is an appropriate plan.</w:t>
      </w:r>
    </w:p>
    <w:p w14:paraId="5D9CF129" w14:textId="77777777" w:rsidR="000817F7" w:rsidRDefault="008D705C" w:rsidP="008D705C">
      <w:pPr>
        <w:pStyle w:val="ListParagraph"/>
        <w:numPr>
          <w:ilvl w:val="0"/>
          <w:numId w:val="10"/>
        </w:numPr>
      </w:pPr>
      <w:r>
        <w:lastRenderedPageBreak/>
        <w:t>At that hearing, the court must consider the defendant’s “financial resources” and the “nature of the burden” that the payments will impose on the defendant’s finances.</w:t>
      </w:r>
      <w:r>
        <w:rPr>
          <w:rStyle w:val="FootnoteReference"/>
        </w:rPr>
        <w:footnoteReference w:id="21"/>
      </w:r>
      <w:r>
        <w:t xml:space="preserve"> </w:t>
      </w:r>
    </w:p>
    <w:p w14:paraId="4890CC20" w14:textId="5D386E11" w:rsidR="008D705C" w:rsidRDefault="008D705C" w:rsidP="008D705C">
      <w:pPr>
        <w:pStyle w:val="ListParagraph"/>
        <w:numPr>
          <w:ilvl w:val="0"/>
          <w:numId w:val="10"/>
        </w:numPr>
      </w:pPr>
      <w:r>
        <w:t>The court cannot impose a payment plan that the evidence shows the defendant cannot afford.</w:t>
      </w:r>
      <w:r w:rsidR="008F3C69">
        <w:rPr>
          <w:rStyle w:val="FootnoteReference"/>
        </w:rPr>
        <w:footnoteReference w:id="22"/>
      </w:r>
      <w:r>
        <w:t xml:space="preserve"> </w:t>
      </w:r>
    </w:p>
    <w:p w14:paraId="75F3C488" w14:textId="60505599" w:rsidR="008D705C" w:rsidRDefault="00BD40F1" w:rsidP="008D705C">
      <w:pPr>
        <w:pStyle w:val="ListParagraph"/>
        <w:numPr>
          <w:ilvl w:val="0"/>
          <w:numId w:val="10"/>
        </w:numPr>
      </w:pPr>
      <w:r>
        <w:t>Payment plans can be any amount</w:t>
      </w:r>
      <w:r w:rsidR="00B81F90">
        <w:t xml:space="preserve"> that the defendant can afford</w:t>
      </w:r>
      <w:r>
        <w:t>, and there are no minimums</w:t>
      </w:r>
      <w:r w:rsidR="008D705C">
        <w:t>.</w:t>
      </w:r>
      <w:r w:rsidR="008D705C">
        <w:rPr>
          <w:rStyle w:val="FootnoteReference"/>
        </w:rPr>
        <w:footnoteReference w:id="23"/>
      </w:r>
      <w:r w:rsidR="008D705C">
        <w:t xml:space="preserve"> </w:t>
      </w:r>
      <w:r w:rsidR="008D705C" w:rsidRPr="00C73821">
        <w:t xml:space="preserve">Many defendants will be able to make regular payments of $5 or $10 per month but cannot afford to pay $50 or $100 consistently. With higher payments, </w:t>
      </w:r>
      <w:r w:rsidR="008D705C">
        <w:t>some</w:t>
      </w:r>
      <w:r w:rsidR="008D705C" w:rsidRPr="00C73821">
        <w:t xml:space="preserve"> defendants fail to pay anything because they are worried that they will be jailed for not paying enough or have been told by court staff that there is no flexibility. </w:t>
      </w:r>
      <w:r w:rsidR="008D705C">
        <w:t xml:space="preserve">Instead, each payment plan must be individually tailored for that defendant’s financial circumstances. </w:t>
      </w:r>
    </w:p>
    <w:p w14:paraId="23C79E9A" w14:textId="77777777" w:rsidR="008D705C" w:rsidRDefault="008D705C" w:rsidP="008D705C"/>
    <w:p w14:paraId="3C1C43E6" w14:textId="719CE5CE" w:rsidR="008D705C" w:rsidRDefault="008D705C" w:rsidP="008D705C">
      <w:r>
        <w:t xml:space="preserve">If a defendant defaults or otherwise requests a change to an existing payment plan, the defendant has the burden to show he cannot afford to pay at </w:t>
      </w:r>
      <w:r w:rsidR="00D00B3F">
        <w:t>the existing</w:t>
      </w:r>
      <w:r>
        <w:t xml:space="preserve"> rate.</w:t>
      </w:r>
      <w:r>
        <w:rPr>
          <w:rStyle w:val="FootnoteReference"/>
        </w:rPr>
        <w:footnoteReference w:id="24"/>
      </w:r>
      <w:r>
        <w:t xml:space="preserve"> Once the defendant meets that burden, however, the court still has an obligation to ensure that it does not place the defendant on a new payment plan that is unaffordable.</w:t>
      </w:r>
      <w:r>
        <w:rPr>
          <w:rStyle w:val="FootnoteReference"/>
        </w:rPr>
        <w:footnoteReference w:id="25"/>
      </w:r>
    </w:p>
    <w:p w14:paraId="44FAD83B" w14:textId="62069380" w:rsidR="008D705C" w:rsidRDefault="008D705C" w:rsidP="00EC4853">
      <w:pPr>
        <w:rPr>
          <w:rFonts w:cs="Times New Roman"/>
          <w:szCs w:val="24"/>
        </w:rPr>
      </w:pPr>
    </w:p>
    <w:p w14:paraId="072E65AA" w14:textId="313FCBC1" w:rsidR="002B2256" w:rsidRDefault="002B2256" w:rsidP="00EC4853">
      <w:pPr>
        <w:rPr>
          <w:rFonts w:cs="Times New Roman"/>
          <w:szCs w:val="24"/>
        </w:rPr>
      </w:pPr>
      <w:r>
        <w:rPr>
          <w:rFonts w:cs="Times New Roman"/>
          <w:szCs w:val="24"/>
        </w:rPr>
        <w:t>For individuals who are incarcerated, the sentencing court—while not able to order the Department of Corrections to stop deducting funds, as is required by 42 Pa.C.S. § 9728(b)(5)</w:t>
      </w:r>
      <w:r w:rsidR="00A60417">
        <w:rPr>
          <w:rFonts w:cs="Times New Roman"/>
          <w:szCs w:val="24"/>
        </w:rPr>
        <w:t>—can specify in an order that the defendant’s obligation to make payments does not begin until he is released.</w:t>
      </w:r>
      <w:r w:rsidR="00912EB8">
        <w:rPr>
          <w:rFonts w:cs="Times New Roman"/>
          <w:szCs w:val="24"/>
        </w:rPr>
        <w:t xml:space="preserve"> Such an order has the effect of preventing deductions from the person’s inmate account while incarcerated.</w:t>
      </w:r>
      <w:r w:rsidR="00912EB8">
        <w:rPr>
          <w:rStyle w:val="FootnoteReference"/>
          <w:rFonts w:cs="Times New Roman"/>
          <w:szCs w:val="24"/>
        </w:rPr>
        <w:footnoteReference w:id="26"/>
      </w:r>
    </w:p>
    <w:p w14:paraId="19E98B3F" w14:textId="5E5ECAB0" w:rsidR="00C94E06" w:rsidRDefault="00C94E06" w:rsidP="00EC4853">
      <w:pPr>
        <w:rPr>
          <w:rFonts w:cs="Times New Roman"/>
          <w:szCs w:val="24"/>
        </w:rPr>
      </w:pPr>
    </w:p>
    <w:p w14:paraId="2F8FB13A" w14:textId="2F445F53" w:rsidR="005630A7" w:rsidRPr="005630A7" w:rsidRDefault="005630A7" w:rsidP="008D705C">
      <w:pPr>
        <w:rPr>
          <w:rFonts w:cs="Times New Roman"/>
          <w:b/>
          <w:szCs w:val="24"/>
        </w:rPr>
      </w:pPr>
      <w:r>
        <w:rPr>
          <w:rFonts w:cs="Times New Roman"/>
          <w:b/>
          <w:szCs w:val="24"/>
        </w:rPr>
        <w:t>Indigent defendants</w:t>
      </w:r>
      <w:r w:rsidR="008D705C">
        <w:rPr>
          <w:rFonts w:cs="Times New Roman"/>
          <w:b/>
          <w:szCs w:val="24"/>
        </w:rPr>
        <w:t xml:space="preserve"> cannot afford to pay and cannot be penalized for nonpayment</w:t>
      </w:r>
      <w:r>
        <w:rPr>
          <w:rFonts w:cs="Times New Roman"/>
          <w:b/>
          <w:szCs w:val="24"/>
        </w:rPr>
        <w:t>.</w:t>
      </w:r>
    </w:p>
    <w:p w14:paraId="368EC088" w14:textId="77777777" w:rsidR="00EC4853" w:rsidRDefault="00EC4853" w:rsidP="00FF4F28">
      <w:pPr>
        <w:rPr>
          <w:rFonts w:cs="Times New Roman"/>
          <w:szCs w:val="24"/>
        </w:rPr>
      </w:pPr>
    </w:p>
    <w:p w14:paraId="03D3230E" w14:textId="77777777" w:rsidR="008E08FA" w:rsidRDefault="008E08FA" w:rsidP="008E08FA">
      <w:pPr>
        <w:rPr>
          <w:rFonts w:cs="Times New Roman"/>
          <w:szCs w:val="24"/>
        </w:rPr>
      </w:pPr>
      <w:r>
        <w:rPr>
          <w:rFonts w:cs="Times New Roman"/>
          <w:szCs w:val="24"/>
        </w:rPr>
        <w:t>The Superior Court has established two presumptions of indigence, which can be overcome if there is evidence to show that the defendant is not indigent:</w:t>
      </w:r>
      <w:r>
        <w:rPr>
          <w:rStyle w:val="FootnoteReference"/>
          <w:rFonts w:cs="Times New Roman"/>
          <w:szCs w:val="24"/>
        </w:rPr>
        <w:footnoteReference w:id="27"/>
      </w:r>
      <w:r>
        <w:rPr>
          <w:rFonts w:cs="Times New Roman"/>
          <w:szCs w:val="24"/>
        </w:rPr>
        <w:t xml:space="preserve"> </w:t>
      </w:r>
    </w:p>
    <w:p w14:paraId="55F46FDB" w14:textId="77777777" w:rsidR="008E08FA" w:rsidRDefault="008E08FA" w:rsidP="008E08FA">
      <w:pPr>
        <w:rPr>
          <w:rFonts w:cs="Times New Roman"/>
          <w:szCs w:val="24"/>
        </w:rPr>
      </w:pPr>
    </w:p>
    <w:p w14:paraId="1D73FF00" w14:textId="77777777" w:rsidR="008E08FA" w:rsidRDefault="008E08FA" w:rsidP="008E08FA">
      <w:pPr>
        <w:pStyle w:val="ListParagraph"/>
        <w:numPr>
          <w:ilvl w:val="0"/>
          <w:numId w:val="5"/>
        </w:numPr>
        <w:rPr>
          <w:rFonts w:cs="Times New Roman"/>
          <w:szCs w:val="24"/>
        </w:rPr>
      </w:pPr>
      <w:r w:rsidRPr="005630A7">
        <w:rPr>
          <w:rFonts w:cs="Times New Roman"/>
          <w:szCs w:val="24"/>
        </w:rPr>
        <w:t>Defendants are presumed indigent if they receive the services of the public defender.</w:t>
      </w:r>
    </w:p>
    <w:p w14:paraId="060A5FB2" w14:textId="77777777" w:rsidR="008E08FA" w:rsidRDefault="008E08FA" w:rsidP="008E08FA">
      <w:pPr>
        <w:pStyle w:val="ListParagraph"/>
        <w:numPr>
          <w:ilvl w:val="0"/>
          <w:numId w:val="5"/>
        </w:numPr>
        <w:rPr>
          <w:rFonts w:cs="Times New Roman"/>
          <w:szCs w:val="24"/>
        </w:rPr>
      </w:pPr>
      <w:r w:rsidRPr="005630A7">
        <w:rPr>
          <w:rFonts w:cs="Times New Roman"/>
          <w:szCs w:val="24"/>
        </w:rPr>
        <w:t xml:space="preserve">Defendants who receive means-based public assistance such as food stamps through the Supplemental Nutrition Assistance Program (“SNAP”), Medicaid, Supplemental Security </w:t>
      </w:r>
      <w:r w:rsidRPr="005630A7">
        <w:rPr>
          <w:rFonts w:cs="Times New Roman"/>
          <w:szCs w:val="24"/>
        </w:rPr>
        <w:lastRenderedPageBreak/>
        <w:t>Assistance (“SSI”), or Temporary Assistance for Needy Families (“TANF”) are presumed indigent.</w:t>
      </w:r>
      <w:r>
        <w:rPr>
          <w:rStyle w:val="FootnoteReference"/>
          <w:rFonts w:cs="Times New Roman"/>
          <w:szCs w:val="24"/>
        </w:rPr>
        <w:footnoteReference w:id="28"/>
      </w:r>
      <w:r w:rsidRPr="005630A7">
        <w:rPr>
          <w:rFonts w:cs="Times New Roman"/>
          <w:szCs w:val="24"/>
        </w:rPr>
        <w:t xml:space="preserve"> </w:t>
      </w:r>
    </w:p>
    <w:p w14:paraId="340E686F" w14:textId="77777777" w:rsidR="008E08FA" w:rsidRDefault="008E08FA" w:rsidP="008D705C">
      <w:pPr>
        <w:rPr>
          <w:rFonts w:cs="Times New Roman"/>
          <w:szCs w:val="24"/>
        </w:rPr>
      </w:pPr>
    </w:p>
    <w:p w14:paraId="1D7CFFAB" w14:textId="7CAEB4F5" w:rsidR="003C4EA9" w:rsidRDefault="0002314C" w:rsidP="008D705C">
      <w:pPr>
        <w:rPr>
          <w:rFonts w:cs="Times New Roman"/>
          <w:szCs w:val="24"/>
        </w:rPr>
      </w:pPr>
      <w:r>
        <w:rPr>
          <w:rFonts w:cs="Times New Roman"/>
          <w:szCs w:val="24"/>
        </w:rPr>
        <w:t>In addition to those presumptions, a</w:t>
      </w:r>
      <w:r w:rsidR="003C4EA9">
        <w:rPr>
          <w:rFonts w:cs="Times New Roman"/>
          <w:szCs w:val="24"/>
        </w:rPr>
        <w:t xml:space="preserve"> defendant is indigent if he </w:t>
      </w:r>
      <w:r w:rsidR="003C4EA9" w:rsidRPr="00E67476">
        <w:rPr>
          <w:rFonts w:cs="Times New Roman"/>
          <w:szCs w:val="24"/>
          <w:u w:val="single"/>
        </w:rPr>
        <w:t xml:space="preserve">cannot </w:t>
      </w:r>
      <w:r w:rsidR="00163D27">
        <w:rPr>
          <w:rFonts w:cs="Times New Roman"/>
          <w:szCs w:val="24"/>
          <w:u w:val="single"/>
        </w:rPr>
        <w:t xml:space="preserve">afford to </w:t>
      </w:r>
      <w:r w:rsidR="003C4EA9" w:rsidRPr="00E67476">
        <w:rPr>
          <w:rFonts w:cs="Times New Roman"/>
          <w:szCs w:val="24"/>
          <w:u w:val="single"/>
        </w:rPr>
        <w:t>meet his basic life needs</w:t>
      </w:r>
      <w:r w:rsidR="003C4EA9">
        <w:rPr>
          <w:rFonts w:cs="Times New Roman"/>
          <w:szCs w:val="24"/>
        </w:rPr>
        <w:t>.</w:t>
      </w:r>
      <w:r w:rsidR="003C4EA9">
        <w:rPr>
          <w:rStyle w:val="FootnoteReference"/>
          <w:rFonts w:cs="Times New Roman"/>
          <w:szCs w:val="24"/>
        </w:rPr>
        <w:footnoteReference w:id="29"/>
      </w:r>
      <w:r w:rsidR="00163D27">
        <w:rPr>
          <w:rFonts w:cs="Times New Roman"/>
          <w:szCs w:val="24"/>
        </w:rPr>
        <w:t xml:space="preserve"> Those include housing, </w:t>
      </w:r>
      <w:r w:rsidR="00E56D3A">
        <w:rPr>
          <w:rFonts w:cs="Times New Roman"/>
          <w:szCs w:val="24"/>
        </w:rPr>
        <w:t xml:space="preserve">utilities, </w:t>
      </w:r>
      <w:r w:rsidR="00163D27">
        <w:rPr>
          <w:rFonts w:cs="Times New Roman"/>
          <w:szCs w:val="24"/>
        </w:rPr>
        <w:t>food, healthcare, transportation, and dependent care.</w:t>
      </w:r>
      <w:r w:rsidR="003C4EA9">
        <w:rPr>
          <w:rFonts w:cs="Times New Roman"/>
          <w:szCs w:val="24"/>
        </w:rPr>
        <w:t xml:space="preserve"> If a defendant is indigent, then that defendant is by definition unable to pay</w:t>
      </w:r>
      <w:r w:rsidR="00E56D3A">
        <w:rPr>
          <w:rFonts w:cs="Times New Roman"/>
          <w:szCs w:val="24"/>
        </w:rPr>
        <w:t xml:space="preserve"> anything, and the defendant’s </w:t>
      </w:r>
      <w:r w:rsidR="005B25AF">
        <w:rPr>
          <w:rFonts w:cs="Times New Roman"/>
          <w:szCs w:val="24"/>
        </w:rPr>
        <w:t xml:space="preserve">obligation to make </w:t>
      </w:r>
      <w:r w:rsidR="00E56D3A">
        <w:rPr>
          <w:rFonts w:cs="Times New Roman"/>
          <w:szCs w:val="24"/>
        </w:rPr>
        <w:t>payments must be suspended</w:t>
      </w:r>
      <w:r w:rsidR="003C46AE">
        <w:rPr>
          <w:rFonts w:cs="Times New Roman"/>
          <w:szCs w:val="24"/>
        </w:rPr>
        <w:t xml:space="preserve"> if the defendant provides evidence of indigence and tells the court that he or she cannot pay</w:t>
      </w:r>
      <w:r w:rsidR="003C4EA9">
        <w:rPr>
          <w:rFonts w:cs="Times New Roman"/>
          <w:szCs w:val="24"/>
        </w:rPr>
        <w:t>.</w:t>
      </w:r>
      <w:r w:rsidR="008D705C">
        <w:rPr>
          <w:rFonts w:cs="Times New Roman"/>
          <w:szCs w:val="24"/>
        </w:rPr>
        <w:t xml:space="preserve"> </w:t>
      </w:r>
      <w:r w:rsidR="008D705C">
        <w:t xml:space="preserve">Otherwise, the court would force </w:t>
      </w:r>
      <w:r w:rsidR="001E6898">
        <w:t>the person</w:t>
      </w:r>
      <w:r w:rsidR="008D705C">
        <w:t xml:space="preserve"> to pay even when experiencing a “hardship.”</w:t>
      </w:r>
      <w:r w:rsidR="008D705C">
        <w:rPr>
          <w:rStyle w:val="FootnoteReference"/>
        </w:rPr>
        <w:footnoteReference w:id="30"/>
      </w:r>
    </w:p>
    <w:p w14:paraId="5F6909ED" w14:textId="77777777" w:rsidR="003C4EA9" w:rsidRDefault="003C4EA9" w:rsidP="003C4EA9">
      <w:pPr>
        <w:rPr>
          <w:rFonts w:cs="Times New Roman"/>
          <w:szCs w:val="24"/>
        </w:rPr>
      </w:pPr>
    </w:p>
    <w:p w14:paraId="5BAEBBE3" w14:textId="1BF1AD22" w:rsidR="003C4EA9" w:rsidRPr="00CB1688" w:rsidRDefault="003C4EA9" w:rsidP="003C4EA9">
      <w:pPr>
        <w:pStyle w:val="ListParagraph"/>
        <w:numPr>
          <w:ilvl w:val="0"/>
          <w:numId w:val="9"/>
        </w:numPr>
        <w:rPr>
          <w:rFonts w:cs="Times New Roman"/>
          <w:szCs w:val="24"/>
        </w:rPr>
      </w:pPr>
      <w:r w:rsidRPr="00E67476">
        <w:rPr>
          <w:rFonts w:cs="Times New Roman"/>
          <w:szCs w:val="24"/>
        </w:rPr>
        <w:t xml:space="preserve">That standard comes from the </w:t>
      </w:r>
      <w:r w:rsidRPr="00E67476">
        <w:rPr>
          <w:rFonts w:cs="Times New Roman"/>
          <w:i/>
          <w:szCs w:val="24"/>
        </w:rPr>
        <w:t>in forma pauperis</w:t>
      </w:r>
      <w:r w:rsidRPr="00E67476">
        <w:rPr>
          <w:rFonts w:cs="Times New Roman"/>
          <w:szCs w:val="24"/>
        </w:rPr>
        <w:t xml:space="preserve"> line of cases, which are </w:t>
      </w:r>
      <w:r>
        <w:t xml:space="preserve">“established processes for assessing indigency” </w:t>
      </w:r>
      <w:r w:rsidR="00771EB3">
        <w:t xml:space="preserve">in criminal </w:t>
      </w:r>
      <w:r w:rsidRPr="00E67476">
        <w:rPr>
          <w:rFonts w:eastAsia="Times New Roman" w:cs="Times New Roman"/>
          <w:szCs w:val="24"/>
        </w:rPr>
        <w:t>cases.”</w:t>
      </w:r>
      <w:r>
        <w:rPr>
          <w:rStyle w:val="FootnoteReference"/>
          <w:rFonts w:eastAsia="Times New Roman" w:cs="Times New Roman"/>
          <w:szCs w:val="24"/>
        </w:rPr>
        <w:footnoteReference w:id="31"/>
      </w:r>
    </w:p>
    <w:p w14:paraId="596AD7CB" w14:textId="62A7AB47" w:rsidR="00CB1688" w:rsidRPr="00E67476" w:rsidRDefault="00CD4164" w:rsidP="003C4EA9">
      <w:pPr>
        <w:pStyle w:val="ListParagraph"/>
        <w:numPr>
          <w:ilvl w:val="0"/>
          <w:numId w:val="9"/>
        </w:numPr>
        <w:rPr>
          <w:rFonts w:cs="Times New Roman"/>
          <w:szCs w:val="24"/>
        </w:rPr>
      </w:pPr>
      <w:r>
        <w:rPr>
          <w:rFonts w:eastAsia="Times New Roman" w:cs="Times New Roman"/>
          <w:szCs w:val="24"/>
        </w:rPr>
        <w:t>C</w:t>
      </w:r>
      <w:r w:rsidR="00CB1688">
        <w:rPr>
          <w:rFonts w:eastAsia="Times New Roman" w:cs="Times New Roman"/>
          <w:szCs w:val="24"/>
        </w:rPr>
        <w:t>riminal case law</w:t>
      </w:r>
      <w:r>
        <w:rPr>
          <w:rFonts w:eastAsia="Times New Roman" w:cs="Times New Roman"/>
          <w:szCs w:val="24"/>
        </w:rPr>
        <w:t xml:space="preserve"> </w:t>
      </w:r>
      <w:r w:rsidR="00CB1688">
        <w:rPr>
          <w:rFonts w:eastAsia="Times New Roman" w:cs="Times New Roman"/>
          <w:szCs w:val="24"/>
        </w:rPr>
        <w:t xml:space="preserve">establishes that when </w:t>
      </w:r>
      <w:r w:rsidR="00CB1688">
        <w:t>a defendant has no “financial assets [or] liabilities” and has been “living from hand to mouth,” the defendant</w:t>
      </w:r>
      <w:r w:rsidR="00E56D3A">
        <w:t xml:space="preserve"> cannot be assessed a fine</w:t>
      </w:r>
      <w:r w:rsidR="00CB1688">
        <w:t>.</w:t>
      </w:r>
      <w:r w:rsidR="00CB1688">
        <w:rPr>
          <w:rStyle w:val="FootnoteReference"/>
        </w:rPr>
        <w:footnoteReference w:id="32"/>
      </w:r>
    </w:p>
    <w:p w14:paraId="72E568E6" w14:textId="6874A892" w:rsidR="003C4EA9" w:rsidRPr="00C3013D" w:rsidRDefault="003C4EA9" w:rsidP="003C4EA9">
      <w:pPr>
        <w:pStyle w:val="ListParagraph"/>
        <w:numPr>
          <w:ilvl w:val="0"/>
          <w:numId w:val="9"/>
        </w:numPr>
        <w:rPr>
          <w:rFonts w:cs="Times New Roman"/>
          <w:szCs w:val="24"/>
        </w:rPr>
      </w:pPr>
      <w:r>
        <w:rPr>
          <w:rFonts w:eastAsia="Times New Roman" w:cs="Times New Roman"/>
          <w:szCs w:val="24"/>
        </w:rPr>
        <w:t>Even if a defendant has some “</w:t>
      </w:r>
      <w:r>
        <w:t xml:space="preserve">‘excess’ income or unencumbered assets,” an indigent defendant is not necessarily able to </w:t>
      </w:r>
      <w:r w:rsidR="00E56D3A">
        <w:t>make payments to the court without hardship</w:t>
      </w:r>
      <w:r>
        <w:t>.</w:t>
      </w:r>
      <w:r>
        <w:rPr>
          <w:rStyle w:val="FootnoteReference"/>
        </w:rPr>
        <w:footnoteReference w:id="33"/>
      </w:r>
      <w:r>
        <w:t xml:space="preserve"> </w:t>
      </w:r>
      <w:r w:rsidR="00C3013D">
        <w:t xml:space="preserve">That is because </w:t>
      </w:r>
      <w:r w:rsidR="00C3013D">
        <w:rPr>
          <w:rFonts w:eastAsia="Times New Roman" w:cs="Times New Roman"/>
          <w:szCs w:val="24"/>
        </w:rPr>
        <w:t>the question is “</w:t>
      </w:r>
      <w:r w:rsidR="00C3013D">
        <w:t>not whether petitioners are unable to pay the costs but whether they are in poverty. If they are in poverty, it follows that they are unable to pay.”</w:t>
      </w:r>
      <w:r w:rsidR="00C3013D">
        <w:rPr>
          <w:rStyle w:val="FootnoteReference"/>
        </w:rPr>
        <w:footnoteReference w:id="34"/>
      </w:r>
    </w:p>
    <w:p w14:paraId="65F63DCF" w14:textId="519D89A2" w:rsidR="00C3013D" w:rsidRDefault="00C3013D" w:rsidP="00AE608F">
      <w:pPr>
        <w:pStyle w:val="ListParagraph"/>
        <w:numPr>
          <w:ilvl w:val="1"/>
          <w:numId w:val="9"/>
        </w:numPr>
        <w:rPr>
          <w:rFonts w:cs="Times New Roman"/>
          <w:szCs w:val="24"/>
        </w:rPr>
      </w:pPr>
      <w:r>
        <w:rPr>
          <w:rFonts w:cs="Times New Roman"/>
          <w:szCs w:val="24"/>
        </w:rPr>
        <w:t>Our appellate courts have found that individuals are indigent and unable to pay even if they are paying for a television set on monthly installments</w:t>
      </w:r>
      <w:r>
        <w:rPr>
          <w:rStyle w:val="FootnoteReference"/>
          <w:rFonts w:cs="Times New Roman"/>
          <w:szCs w:val="24"/>
        </w:rPr>
        <w:footnoteReference w:id="35"/>
      </w:r>
      <w:r>
        <w:rPr>
          <w:rFonts w:cs="Times New Roman"/>
          <w:szCs w:val="24"/>
        </w:rPr>
        <w:t xml:space="preserve"> or have a car</w:t>
      </w:r>
      <w:r>
        <w:rPr>
          <w:rStyle w:val="FootnoteReference"/>
          <w:rFonts w:cs="Times New Roman"/>
          <w:szCs w:val="24"/>
        </w:rPr>
        <w:footnoteReference w:id="36"/>
      </w:r>
      <w:r>
        <w:rPr>
          <w:rFonts w:cs="Times New Roman"/>
          <w:szCs w:val="24"/>
        </w:rPr>
        <w:t>—</w:t>
      </w:r>
      <w:r w:rsidR="00E56D3A">
        <w:rPr>
          <w:rFonts w:cs="Times New Roman"/>
          <w:szCs w:val="24"/>
        </w:rPr>
        <w:t xml:space="preserve">if </w:t>
      </w:r>
      <w:r>
        <w:rPr>
          <w:rFonts w:cs="Times New Roman"/>
          <w:szCs w:val="24"/>
        </w:rPr>
        <w:t xml:space="preserve">the person still cannot meet his basic </w:t>
      </w:r>
      <w:r w:rsidR="00E56D3A">
        <w:rPr>
          <w:rFonts w:cs="Times New Roman"/>
          <w:szCs w:val="24"/>
        </w:rPr>
        <w:t>expenses</w:t>
      </w:r>
      <w:r>
        <w:rPr>
          <w:rFonts w:cs="Times New Roman"/>
          <w:szCs w:val="24"/>
        </w:rPr>
        <w:t>, which is the relevant legal question.</w:t>
      </w:r>
    </w:p>
    <w:p w14:paraId="32AE0A96" w14:textId="18007EEB" w:rsidR="00163D27" w:rsidRPr="00E67476" w:rsidRDefault="00E56D3A" w:rsidP="00DA12D8">
      <w:pPr>
        <w:pStyle w:val="ListParagraph"/>
        <w:numPr>
          <w:ilvl w:val="0"/>
          <w:numId w:val="9"/>
        </w:numPr>
        <w:rPr>
          <w:rFonts w:cs="Times New Roman"/>
          <w:szCs w:val="24"/>
        </w:rPr>
      </w:pPr>
      <w:r>
        <w:rPr>
          <w:rFonts w:cs="Times New Roman"/>
          <w:szCs w:val="24"/>
        </w:rPr>
        <w:t xml:space="preserve">One helpful benchmark </w:t>
      </w:r>
      <w:r w:rsidR="002D405F">
        <w:rPr>
          <w:rFonts w:cs="Times New Roman"/>
          <w:szCs w:val="24"/>
        </w:rPr>
        <w:t>endorsed by the Superior Court</w:t>
      </w:r>
      <w:r>
        <w:rPr>
          <w:rFonts w:cs="Times New Roman"/>
          <w:szCs w:val="24"/>
        </w:rPr>
        <w:t xml:space="preserve"> is the Federal Poverty Guidelines. Defendants who are at or below </w:t>
      </w:r>
      <w:r w:rsidR="00163D27">
        <w:rPr>
          <w:rFonts w:cs="Times New Roman"/>
          <w:szCs w:val="24"/>
        </w:rPr>
        <w:t>125% of the Federal Poverty Level</w:t>
      </w:r>
      <w:r w:rsidR="00B12872">
        <w:rPr>
          <w:rFonts w:cs="Times New Roman"/>
          <w:szCs w:val="24"/>
        </w:rPr>
        <w:t>—</w:t>
      </w:r>
      <w:r w:rsidR="00DA12D8">
        <w:rPr>
          <w:rFonts w:cs="Times New Roman"/>
          <w:szCs w:val="24"/>
        </w:rPr>
        <w:t>$</w:t>
      </w:r>
      <w:r w:rsidR="00DA12D8" w:rsidRPr="00DA12D8">
        <w:rPr>
          <w:rFonts w:cs="Times New Roman"/>
          <w:szCs w:val="24"/>
        </w:rPr>
        <w:t xml:space="preserve">15,175 </w:t>
      </w:r>
      <w:r w:rsidR="00DA12D8">
        <w:rPr>
          <w:rFonts w:cs="Times New Roman"/>
          <w:szCs w:val="24"/>
        </w:rPr>
        <w:t>for an individual</w:t>
      </w:r>
      <w:r w:rsidR="00B12872">
        <w:rPr>
          <w:rFonts w:cs="Times New Roman"/>
          <w:szCs w:val="24"/>
        </w:rPr>
        <w:t xml:space="preserve"> </w:t>
      </w:r>
      <w:r w:rsidR="00DA12D8">
        <w:rPr>
          <w:rFonts w:cs="Times New Roman"/>
          <w:szCs w:val="24"/>
        </w:rPr>
        <w:t xml:space="preserve">in 2018—are </w:t>
      </w:r>
      <w:r>
        <w:rPr>
          <w:rFonts w:cs="Times New Roman"/>
          <w:szCs w:val="24"/>
        </w:rPr>
        <w:t>almost certainly indigent</w:t>
      </w:r>
      <w:r w:rsidR="00163D27">
        <w:rPr>
          <w:rFonts w:cs="Times New Roman"/>
          <w:szCs w:val="24"/>
        </w:rPr>
        <w:t>.</w:t>
      </w:r>
      <w:r w:rsidR="00163D27">
        <w:rPr>
          <w:rStyle w:val="FootnoteReference"/>
          <w:rFonts w:cs="Times New Roman"/>
          <w:szCs w:val="24"/>
        </w:rPr>
        <w:footnoteReference w:id="37"/>
      </w:r>
    </w:p>
    <w:p w14:paraId="59D8F4E8" w14:textId="77777777" w:rsidR="003C4EA9" w:rsidRDefault="003C4EA9" w:rsidP="00FF4F28">
      <w:pPr>
        <w:rPr>
          <w:rFonts w:cs="Times New Roman"/>
          <w:szCs w:val="24"/>
        </w:rPr>
      </w:pPr>
    </w:p>
    <w:p w14:paraId="1EFC90D1" w14:textId="6DB85ACC" w:rsidR="008D705C" w:rsidRPr="008D705C" w:rsidRDefault="008D705C" w:rsidP="008D705C">
      <w:pPr>
        <w:rPr>
          <w:rFonts w:cs="Times New Roman"/>
          <w:szCs w:val="24"/>
        </w:rPr>
      </w:pPr>
      <w:r>
        <w:t xml:space="preserve">As long as the defendant is </w:t>
      </w:r>
      <w:r w:rsidR="005B47DB">
        <w:t>making a good-faith effort to look for work</w:t>
      </w:r>
      <w:r>
        <w:t>, the defendant cannot be penalized for being without means.</w:t>
      </w:r>
      <w:r>
        <w:rPr>
          <w:rStyle w:val="FootnoteReference"/>
        </w:rPr>
        <w:footnoteReference w:id="38"/>
      </w:r>
    </w:p>
    <w:p w14:paraId="1C131FF2" w14:textId="1D265AE0" w:rsidR="00FF4F28" w:rsidRDefault="00FF4F28" w:rsidP="00326A82">
      <w:pPr>
        <w:rPr>
          <w:rFonts w:cs="Times New Roman"/>
          <w:szCs w:val="24"/>
        </w:rPr>
      </w:pPr>
    </w:p>
    <w:sectPr w:rsidR="00FF4F28" w:rsidSect="00000440">
      <w:footerReference w:type="default" r:id="rId8"/>
      <w:pgSz w:w="12240" w:h="15840"/>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91085" w16cid:durableId="1E65EDD5"/>
  <w16cid:commentId w16cid:paraId="0C095942" w16cid:durableId="1E65EE5C"/>
  <w16cid:commentId w16cid:paraId="440AD309" w16cid:durableId="1E65EE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3315B" w14:textId="77777777" w:rsidR="0062490B" w:rsidRDefault="0062490B" w:rsidP="00BE644C">
      <w:r>
        <w:separator/>
      </w:r>
    </w:p>
  </w:endnote>
  <w:endnote w:type="continuationSeparator" w:id="0">
    <w:p w14:paraId="46D16DBA" w14:textId="77777777" w:rsidR="0062490B" w:rsidRDefault="0062490B" w:rsidP="00BE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16897"/>
      <w:docPartObj>
        <w:docPartGallery w:val="Page Numbers (Bottom of Page)"/>
        <w:docPartUnique/>
      </w:docPartObj>
    </w:sdtPr>
    <w:sdtEndPr>
      <w:rPr>
        <w:noProof/>
      </w:rPr>
    </w:sdtEndPr>
    <w:sdtContent>
      <w:p w14:paraId="74F17797" w14:textId="432A14F7" w:rsidR="00BE644C" w:rsidRDefault="003703FB" w:rsidP="003703FB">
        <w:pPr>
          <w:pStyle w:val="Footer"/>
          <w:tabs>
            <w:tab w:val="left" w:pos="420"/>
          </w:tabs>
        </w:pPr>
        <w:r>
          <w:tab/>
        </w:r>
        <w:r>
          <w:tab/>
        </w:r>
        <w:r w:rsidR="00BE644C">
          <w:fldChar w:fldCharType="begin"/>
        </w:r>
        <w:r w:rsidR="00BE644C">
          <w:instrText xml:space="preserve"> PAGE   \* MERGEFORMAT </w:instrText>
        </w:r>
        <w:r w:rsidR="00BE644C">
          <w:fldChar w:fldCharType="separate"/>
        </w:r>
        <w:r w:rsidR="00DB08E8">
          <w:rPr>
            <w:noProof/>
          </w:rPr>
          <w:t>5</w:t>
        </w:r>
        <w:r w:rsidR="00BE644C">
          <w:rPr>
            <w:noProof/>
          </w:rPr>
          <w:fldChar w:fldCharType="end"/>
        </w:r>
      </w:p>
    </w:sdtContent>
  </w:sdt>
  <w:p w14:paraId="6E85E113" w14:textId="2927ED2D" w:rsidR="00BE644C" w:rsidRDefault="003703FB">
    <w:pPr>
      <w:pStyle w:val="Footer"/>
    </w:pPr>
    <w:r>
      <w:rPr>
        <w:noProof/>
        <w:sz w:val="20"/>
        <w:szCs w:val="20"/>
      </w:rPr>
      <w:t>Last modified 20</w:t>
    </w:r>
    <w:r w:rsidR="003E6058">
      <w:rPr>
        <w:noProof/>
        <w:sz w:val="20"/>
        <w:szCs w:val="20"/>
      </w:rPr>
      <w:t>20-09-16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39DB2" w14:textId="77777777" w:rsidR="0062490B" w:rsidRDefault="0062490B" w:rsidP="00BE644C">
      <w:r>
        <w:separator/>
      </w:r>
    </w:p>
  </w:footnote>
  <w:footnote w:type="continuationSeparator" w:id="0">
    <w:p w14:paraId="30F176F4" w14:textId="77777777" w:rsidR="0062490B" w:rsidRDefault="0062490B" w:rsidP="00BE644C">
      <w:r>
        <w:continuationSeparator/>
      </w:r>
    </w:p>
  </w:footnote>
  <w:footnote w:id="1">
    <w:p w14:paraId="0ABEF976" w14:textId="3481DA45" w:rsidR="00C55BF7" w:rsidRDefault="00C55BF7" w:rsidP="00C55BF7">
      <w:pPr>
        <w:pStyle w:val="FootnoteText"/>
      </w:pPr>
      <w:r>
        <w:rPr>
          <w:rStyle w:val="FootnoteReference"/>
        </w:rPr>
        <w:footnoteRef/>
      </w:r>
      <w:r>
        <w:t xml:space="preserve"> </w:t>
      </w:r>
      <w:r>
        <w:rPr>
          <w:rFonts w:cs="Times New Roman"/>
        </w:rPr>
        <w:t>This Guide addresses Pennsylvania law on how to assess ability to pay; a separate ACLU-PA Guide addresses the law regarding contempt proceedings after default.</w:t>
      </w:r>
    </w:p>
  </w:footnote>
  <w:footnote w:id="2">
    <w:p w14:paraId="609BF121" w14:textId="508F680D" w:rsidR="005630A7" w:rsidRPr="00FD79CA" w:rsidRDefault="005630A7">
      <w:pPr>
        <w:pStyle w:val="FootnoteText"/>
      </w:pPr>
      <w:r w:rsidRPr="00FD79CA">
        <w:rPr>
          <w:rStyle w:val="FootnoteReference"/>
        </w:rPr>
        <w:footnoteRef/>
      </w:r>
      <w:r w:rsidRPr="00FD79CA">
        <w:t xml:space="preserve"> </w:t>
      </w:r>
      <w:r w:rsidRPr="00FD79CA">
        <w:rPr>
          <w:rStyle w:val="cohighlightpoints"/>
          <w:rFonts w:cs="Times New Roman"/>
          <w:i/>
        </w:rPr>
        <w:t>Commonwealth v. Hernandez</w:t>
      </w:r>
      <w:r w:rsidRPr="00FD79CA">
        <w:rPr>
          <w:rStyle w:val="cohighlightpoints"/>
          <w:rFonts w:cs="Times New Roman"/>
        </w:rPr>
        <w:t xml:space="preserve">, 917 A.2d 332, 337 (Pa. Super. Ct. 2007) (Pa.R.Crim.P. 706, </w:t>
      </w:r>
      <w:r w:rsidRPr="00FD79CA">
        <w:rPr>
          <w:rFonts w:cs="Times New Roman"/>
        </w:rPr>
        <w:t xml:space="preserve">enforces the constitutional requirement that there is a </w:t>
      </w:r>
      <w:r w:rsidRPr="00FD79CA">
        <w:rPr>
          <w:rFonts w:eastAsia="Times New Roman" w:cs="Times New Roman"/>
        </w:rPr>
        <w:t>“</w:t>
      </w:r>
      <w:r w:rsidRPr="00FD79CA">
        <w:rPr>
          <w:rFonts w:cs="Times New Roman"/>
        </w:rPr>
        <w:t xml:space="preserve">duty of paying costs </w:t>
      </w:r>
      <w:r w:rsidRPr="00FD79CA">
        <w:rPr>
          <w:rStyle w:val="cohighlightpoints"/>
          <w:rFonts w:cs="Times New Roman"/>
        </w:rPr>
        <w:t xml:space="preserve">‘only against those who actually become able to meet it without hardship.’” (quoting </w:t>
      </w:r>
      <w:r w:rsidRPr="00FD79CA">
        <w:rPr>
          <w:rStyle w:val="cohighlightpoints"/>
          <w:rFonts w:cs="Times New Roman"/>
          <w:i/>
        </w:rPr>
        <w:t>Fuller v. Oregon</w:t>
      </w:r>
      <w:r w:rsidRPr="00FD79CA">
        <w:rPr>
          <w:rStyle w:val="cohighlightpoints"/>
          <w:rFonts w:cs="Times New Roman"/>
        </w:rPr>
        <w:t>, 417 U.S. 40, 54 (1974)).</w:t>
      </w:r>
      <w:r w:rsidR="00D1185B" w:rsidRPr="00FD79CA">
        <w:rPr>
          <w:rStyle w:val="cohighlightpoints"/>
          <w:rFonts w:cs="Times New Roman"/>
        </w:rPr>
        <w:t xml:space="preserve"> The Pennsylvania Supreme Court has explained that there is no “no basis in logic or law” to draw distinctions between fines, costs, or restitution for purposes of payment plans and the prohibition against jailing the indigent for nonpayment. </w:t>
      </w:r>
      <w:r w:rsidR="00D1185B" w:rsidRPr="00FD79CA">
        <w:rPr>
          <w:rFonts w:cs="Times New Roman"/>
          <w:i/>
          <w:noProof/>
        </w:rPr>
        <w:t>Commonwealth ex. rel. Parrish v. Cliff</w:t>
      </w:r>
      <w:r w:rsidR="00D1185B" w:rsidRPr="00FD79CA">
        <w:rPr>
          <w:rFonts w:cs="Times New Roman"/>
          <w:noProof/>
        </w:rPr>
        <w:t>, 304 A.2d 158, 162 (Pa. 1973).</w:t>
      </w:r>
    </w:p>
  </w:footnote>
  <w:footnote w:id="3">
    <w:p w14:paraId="07D064C7" w14:textId="4BE34CC0" w:rsidR="002A40AF" w:rsidRPr="00FB6736" w:rsidRDefault="002A40AF" w:rsidP="002A40AF">
      <w:pPr>
        <w:pStyle w:val="FootnoteText"/>
      </w:pPr>
      <w:r w:rsidRPr="00FD79CA">
        <w:rPr>
          <w:rStyle w:val="FootnoteReference"/>
        </w:rPr>
        <w:footnoteRef/>
      </w:r>
      <w:r w:rsidRPr="00FD79CA">
        <w:t xml:space="preserve"> </w:t>
      </w:r>
      <w:r w:rsidRPr="00FD79CA">
        <w:rPr>
          <w:rFonts w:cs="Times New Roman"/>
          <w:i/>
        </w:rPr>
        <w:t>See</w:t>
      </w:r>
      <w:r w:rsidRPr="00FD79CA">
        <w:rPr>
          <w:rFonts w:cs="Times New Roman"/>
        </w:rPr>
        <w:t xml:space="preserve">, </w:t>
      </w:r>
      <w:r w:rsidRPr="00FD79CA">
        <w:rPr>
          <w:rFonts w:cs="Times New Roman"/>
          <w:i/>
        </w:rPr>
        <w:t>e.g.</w:t>
      </w:r>
      <w:r w:rsidRPr="00FD79CA">
        <w:rPr>
          <w:rFonts w:cs="Times New Roman"/>
        </w:rPr>
        <w:t>,</w:t>
      </w:r>
      <w:r>
        <w:rPr>
          <w:rFonts w:cs="Times New Roman"/>
        </w:rPr>
        <w:t xml:space="preserve"> </w:t>
      </w:r>
      <w:r>
        <w:rPr>
          <w:rFonts w:cs="Times New Roman"/>
          <w:i/>
        </w:rPr>
        <w:t>Commonwealth v. Mauk</w:t>
      </w:r>
      <w:r>
        <w:rPr>
          <w:rFonts w:cs="Times New Roman"/>
        </w:rPr>
        <w:t xml:space="preserve">, </w:t>
      </w:r>
      <w:r w:rsidR="00753E91">
        <w:rPr>
          <w:rFonts w:cs="Times New Roman"/>
        </w:rPr>
        <w:t xml:space="preserve">185 A.3d 406, 411 </w:t>
      </w:r>
      <w:r>
        <w:rPr>
          <w:rFonts w:cs="Times New Roman"/>
        </w:rPr>
        <w:t>(Pa. Super. Ct. 2018);</w:t>
      </w:r>
      <w:r w:rsidRPr="00FD79CA">
        <w:rPr>
          <w:rFonts w:cs="Times New Roman"/>
        </w:rPr>
        <w:t xml:space="preserve"> </w:t>
      </w:r>
      <w:r w:rsidRPr="00FD79CA">
        <w:rPr>
          <w:rFonts w:cs="Times New Roman"/>
          <w:i/>
        </w:rPr>
        <w:t>Commonwealth v. Ruiz</w:t>
      </w:r>
      <w:r w:rsidRPr="00FD79CA">
        <w:rPr>
          <w:rFonts w:cs="Times New Roman"/>
        </w:rPr>
        <w:t xml:space="preserve">, 470 A.2d 1010, 1012 (Pa. Super. Ct. 1984) (mere knowledge that a defendant is employed “cannot alone provide a sufficient picture of appellant's finances so that an intelligent finding as to his ability to pay the fines and costs imposed can be made.”); </w:t>
      </w:r>
      <w:r w:rsidRPr="00FD79CA">
        <w:rPr>
          <w:rFonts w:cs="Times New Roman"/>
          <w:i/>
        </w:rPr>
        <w:t>Commonwealth. v. Martin</w:t>
      </w:r>
      <w:r w:rsidRPr="00FD79CA">
        <w:rPr>
          <w:rFonts w:cs="Times New Roman"/>
        </w:rPr>
        <w:t xml:space="preserve">, 335 A.2d 424, 426 n.3 (Pa. Super. Ct. 1975) (en banc) (court erred in determining ability to pay fine based only on information “available in appellant's original application for counsel”); </w:t>
      </w:r>
      <w:r w:rsidRPr="00FD79CA">
        <w:rPr>
          <w:i/>
        </w:rPr>
        <w:t>Commonwealth v. Schwartz</w:t>
      </w:r>
      <w:r w:rsidRPr="00FD79CA">
        <w:t>, 418 A.2d 637, 640 (Pa. Super. Ct. 1980) (at sentencing, information that the defendant “sold $980 worth of drugs to the undercover agents the previous year and was currently working with his father in the construction industry, ‘bringing home approximately $150 per week,’” was insufficient to determine ability to pay fine).</w:t>
      </w:r>
      <w:r>
        <w:t xml:space="preserve"> </w:t>
      </w:r>
    </w:p>
  </w:footnote>
  <w:footnote w:id="4">
    <w:p w14:paraId="230CC65D" w14:textId="005B6C66" w:rsidR="002A40AF" w:rsidRDefault="002A40AF">
      <w:pPr>
        <w:pStyle w:val="FootnoteText"/>
      </w:pPr>
      <w:r>
        <w:rPr>
          <w:rStyle w:val="FootnoteReference"/>
        </w:rPr>
        <w:footnoteRef/>
      </w:r>
      <w:r>
        <w:t xml:space="preserve"> </w:t>
      </w:r>
      <w:r>
        <w:rPr>
          <w:i/>
        </w:rPr>
        <w:t>Commonwealth v. Diaz</w:t>
      </w:r>
      <w:r>
        <w:t xml:space="preserve">, 2018 PA Super </w:t>
      </w:r>
      <w:r w:rsidR="00E41DED">
        <w:t>175</w:t>
      </w:r>
      <w:r>
        <w:t xml:space="preserve"> (Pa. Super. Ct. 2018) (</w:t>
      </w:r>
      <w:r>
        <w:rPr>
          <w:rStyle w:val="cohighlightpoints"/>
          <w:rFonts w:cs="Times New Roman"/>
        </w:rPr>
        <w:t>court must make findings on defendant’s ability to pay</w:t>
      </w:r>
      <w:r w:rsidR="00855EBA">
        <w:rPr>
          <w:rStyle w:val="cohighlightpoints"/>
          <w:rFonts w:cs="Times New Roman"/>
        </w:rPr>
        <w:t xml:space="preserve"> when either imposing a payment plan or holding a defendant in contempt); </w:t>
      </w:r>
      <w:r w:rsidR="00855EBA">
        <w:rPr>
          <w:i/>
        </w:rPr>
        <w:t>Commonwealth v. Smetana</w:t>
      </w:r>
      <w:r w:rsidR="00855EBA">
        <w:t>, 2018 PA Super 176 (Pa. Super. Ct. 2018)</w:t>
      </w:r>
      <w:r w:rsidR="000817F7">
        <w:t xml:space="preserve"> (same)</w:t>
      </w:r>
      <w:r w:rsidR="00855EBA">
        <w:t>.</w:t>
      </w:r>
    </w:p>
  </w:footnote>
  <w:footnote w:id="5">
    <w:p w14:paraId="61673490" w14:textId="77777777" w:rsidR="005630A7" w:rsidRPr="00FD79CA" w:rsidRDefault="005630A7">
      <w:pPr>
        <w:pStyle w:val="FootnoteText"/>
      </w:pPr>
      <w:r w:rsidRPr="00FD79CA">
        <w:rPr>
          <w:rStyle w:val="FootnoteReference"/>
        </w:rPr>
        <w:footnoteRef/>
      </w:r>
      <w:r w:rsidRPr="00FD79CA">
        <w:t xml:space="preserve"> </w:t>
      </w:r>
      <w:r w:rsidRPr="00FD79CA">
        <w:rPr>
          <w:i/>
        </w:rPr>
        <w:t>Commonwealth ex rel. Bashore v. Leininger</w:t>
      </w:r>
      <w:r w:rsidRPr="00FD79CA">
        <w:t>, 2 Pa. D. &amp; C. 3d 523, 528-29 (1977).</w:t>
      </w:r>
    </w:p>
  </w:footnote>
  <w:footnote w:id="6">
    <w:p w14:paraId="4F585D3E" w14:textId="77777777" w:rsidR="0061398C" w:rsidRPr="00FD79CA" w:rsidRDefault="0061398C">
      <w:pPr>
        <w:pStyle w:val="FootnoteText"/>
      </w:pPr>
      <w:r w:rsidRPr="00FD79CA">
        <w:rPr>
          <w:rStyle w:val="FootnoteReference"/>
        </w:rPr>
        <w:footnoteRef/>
      </w:r>
      <w:r w:rsidRPr="00FD79CA">
        <w:t xml:space="preserve"> </w:t>
      </w:r>
      <w:r w:rsidRPr="00FD79CA">
        <w:rPr>
          <w:rFonts w:eastAsia="Times New Roman" w:cs="Times New Roman"/>
          <w:i/>
        </w:rPr>
        <w:t>Crosby Square Apartments v. Henson</w:t>
      </w:r>
      <w:r w:rsidRPr="00FD79CA">
        <w:rPr>
          <w:rFonts w:eastAsia="Times New Roman" w:cs="Times New Roman"/>
        </w:rPr>
        <w:t>, 666 A.2d 737, 738-39 (Pa. Super. Ct. 1995).</w:t>
      </w:r>
    </w:p>
  </w:footnote>
  <w:footnote w:id="7">
    <w:p w14:paraId="0BFDE0B4" w14:textId="77777777" w:rsidR="00E67476" w:rsidRPr="00FD79CA" w:rsidRDefault="00E67476">
      <w:pPr>
        <w:pStyle w:val="FootnoteText"/>
      </w:pPr>
      <w:r w:rsidRPr="00FD79CA">
        <w:rPr>
          <w:rStyle w:val="FootnoteReference"/>
        </w:rPr>
        <w:footnoteRef/>
      </w:r>
      <w:r w:rsidRPr="00FD79CA">
        <w:t xml:space="preserve"> </w:t>
      </w:r>
      <w:r w:rsidRPr="00FD79CA">
        <w:rPr>
          <w:i/>
        </w:rPr>
        <w:t>Stein Enterprises, Inc. v. Golla</w:t>
      </w:r>
      <w:r w:rsidRPr="00FD79CA">
        <w:t>, 426 A.2d 1129, 1132 (Pa. 1981).</w:t>
      </w:r>
    </w:p>
  </w:footnote>
  <w:footnote w:id="8">
    <w:p w14:paraId="4F85F2AE" w14:textId="77777777" w:rsidR="00123570" w:rsidRPr="00FD79CA" w:rsidRDefault="00123570" w:rsidP="00123570">
      <w:pPr>
        <w:pStyle w:val="FootnoteText"/>
      </w:pPr>
      <w:r w:rsidRPr="00FD79CA">
        <w:rPr>
          <w:rStyle w:val="FootnoteReference"/>
        </w:rPr>
        <w:footnoteRef/>
      </w:r>
      <w:r w:rsidRPr="00FD79CA">
        <w:t xml:space="preserve"> </w:t>
      </w:r>
      <w:r w:rsidRPr="00FD79CA">
        <w:rPr>
          <w:i/>
        </w:rPr>
        <w:t>Commonwealth ex rel. Bashore v. Leininger</w:t>
      </w:r>
      <w:r w:rsidRPr="00FD79CA">
        <w:t>, 2 Pa. D. &amp; C. 3d 523, 528-29 (1977).</w:t>
      </w:r>
    </w:p>
  </w:footnote>
  <w:footnote w:id="9">
    <w:p w14:paraId="60BBD387" w14:textId="28A566DD" w:rsidR="00123570" w:rsidRPr="00FD79CA" w:rsidRDefault="00123570" w:rsidP="00123570">
      <w:pPr>
        <w:rPr>
          <w:sz w:val="20"/>
          <w:szCs w:val="20"/>
        </w:rPr>
      </w:pPr>
      <w:r w:rsidRPr="00FD79CA">
        <w:rPr>
          <w:rStyle w:val="FootnoteReference"/>
          <w:sz w:val="20"/>
          <w:szCs w:val="20"/>
        </w:rPr>
        <w:footnoteRef/>
      </w:r>
      <w:r w:rsidRPr="00FD79CA">
        <w:rPr>
          <w:sz w:val="20"/>
          <w:szCs w:val="20"/>
        </w:rPr>
        <w:t xml:space="preserve"> </w:t>
      </w:r>
      <w:r w:rsidRPr="00FD79CA">
        <w:rPr>
          <w:i/>
          <w:sz w:val="20"/>
          <w:szCs w:val="20"/>
        </w:rPr>
        <w:t>Amrhein v. Amrhein</w:t>
      </w:r>
      <w:r w:rsidRPr="00FD79CA">
        <w:rPr>
          <w:sz w:val="20"/>
          <w:szCs w:val="20"/>
        </w:rPr>
        <w:t>, 903 A.2d 17, 22 (Pa. Super. Ct. 2006)</w:t>
      </w:r>
      <w:r w:rsidR="00FD79CA" w:rsidRPr="00FD79CA">
        <w:rPr>
          <w:sz w:val="20"/>
          <w:szCs w:val="20"/>
        </w:rPr>
        <w:t>.</w:t>
      </w:r>
    </w:p>
  </w:footnote>
  <w:footnote w:id="10">
    <w:p w14:paraId="5A1DB153" w14:textId="7B2A2311" w:rsidR="00123570" w:rsidRPr="00FD79CA" w:rsidRDefault="00123570">
      <w:pPr>
        <w:pStyle w:val="FootnoteText"/>
      </w:pPr>
      <w:r w:rsidRPr="00FD79CA">
        <w:rPr>
          <w:rStyle w:val="FootnoteReference"/>
        </w:rPr>
        <w:footnoteRef/>
      </w:r>
      <w:r w:rsidRPr="00FD79CA">
        <w:t xml:space="preserve"> </w:t>
      </w:r>
      <w:r w:rsidRPr="00FD79CA">
        <w:rPr>
          <w:rFonts w:eastAsia="Times New Roman" w:cs="Times New Roman"/>
          <w:i/>
        </w:rPr>
        <w:t>Crosby Square Apartments</w:t>
      </w:r>
      <w:r w:rsidRPr="00FD79CA">
        <w:rPr>
          <w:rFonts w:eastAsia="Times New Roman" w:cs="Times New Roman"/>
        </w:rPr>
        <w:t xml:space="preserve">, 666 A.2d </w:t>
      </w:r>
      <w:r w:rsidR="00FD79CA" w:rsidRPr="00FD79CA">
        <w:rPr>
          <w:rFonts w:eastAsia="Times New Roman" w:cs="Times New Roman"/>
        </w:rPr>
        <w:t>at 739.</w:t>
      </w:r>
    </w:p>
  </w:footnote>
  <w:footnote w:id="11">
    <w:p w14:paraId="20AEC57A" w14:textId="7565F452" w:rsidR="00123570" w:rsidRPr="00FD79CA" w:rsidRDefault="00123570" w:rsidP="00123570">
      <w:pPr>
        <w:rPr>
          <w:sz w:val="20"/>
          <w:szCs w:val="20"/>
        </w:rPr>
      </w:pPr>
      <w:r w:rsidRPr="00FD79CA">
        <w:rPr>
          <w:rStyle w:val="FootnoteReference"/>
          <w:sz w:val="20"/>
          <w:szCs w:val="20"/>
        </w:rPr>
        <w:footnoteRef/>
      </w:r>
      <w:r w:rsidRPr="00FD79CA">
        <w:rPr>
          <w:sz w:val="20"/>
          <w:szCs w:val="20"/>
        </w:rPr>
        <w:t xml:space="preserve"> </w:t>
      </w:r>
      <w:r w:rsidRPr="00FD79CA">
        <w:rPr>
          <w:i/>
          <w:sz w:val="20"/>
          <w:szCs w:val="20"/>
        </w:rPr>
        <w:t>Amrhein v. Amrhein</w:t>
      </w:r>
      <w:r w:rsidRPr="00FD79CA">
        <w:rPr>
          <w:sz w:val="20"/>
          <w:szCs w:val="20"/>
        </w:rPr>
        <w:t xml:space="preserve">, 903 A.2d 17, 22 (Pa. Super. Ct. 2006); </w:t>
      </w:r>
      <w:r w:rsidRPr="00FD79CA">
        <w:rPr>
          <w:i/>
          <w:sz w:val="20"/>
          <w:szCs w:val="20"/>
        </w:rPr>
        <w:t xml:space="preserve">see also </w:t>
      </w:r>
      <w:r w:rsidRPr="00FD79CA">
        <w:rPr>
          <w:rFonts w:eastAsia="Times New Roman" w:cs="Times New Roman"/>
          <w:i/>
          <w:sz w:val="20"/>
          <w:szCs w:val="20"/>
        </w:rPr>
        <w:t>Crosby Square Apartments v. Henson</w:t>
      </w:r>
      <w:r w:rsidRPr="00FD79CA">
        <w:rPr>
          <w:rFonts w:eastAsia="Times New Roman" w:cs="Times New Roman"/>
          <w:sz w:val="20"/>
          <w:szCs w:val="20"/>
        </w:rPr>
        <w:t>, 666 A.2d 737, 739 (Pa. Super. Ct. 1995).</w:t>
      </w:r>
    </w:p>
  </w:footnote>
  <w:footnote w:id="12">
    <w:p w14:paraId="0ADC1E04" w14:textId="722F78B2" w:rsidR="00E16C55" w:rsidRPr="000E67E3" w:rsidRDefault="00E16C55" w:rsidP="000E67E3">
      <w:pPr>
        <w:pStyle w:val="FootnoteText"/>
      </w:pPr>
      <w:r w:rsidRPr="00FD79CA">
        <w:rPr>
          <w:rStyle w:val="FootnoteReference"/>
        </w:rPr>
        <w:footnoteRef/>
      </w:r>
      <w:r w:rsidRPr="00FD79CA">
        <w:t xml:space="preserve"> </w:t>
      </w:r>
      <w:r w:rsidR="00FD79CA" w:rsidRPr="00FD79CA">
        <w:rPr>
          <w:rFonts w:cs="Times New Roman"/>
          <w:i/>
        </w:rPr>
        <w:t>Schoepple v. Schoepple</w:t>
      </w:r>
      <w:r w:rsidR="00FD79CA" w:rsidRPr="00FD79CA">
        <w:rPr>
          <w:rFonts w:cs="Times New Roman"/>
        </w:rPr>
        <w:t>, 361 A.2d 665, 667 (Pa. Super. Ct. 1976) (en banc)</w:t>
      </w:r>
      <w:r w:rsidR="00FD79CA" w:rsidRPr="00FD79CA">
        <w:t xml:space="preserve"> </w:t>
      </w:r>
      <w:r w:rsidR="0090425A" w:rsidRPr="00FD79CA">
        <w:t xml:space="preserve">(television installment payments); </w:t>
      </w:r>
      <w:r w:rsidR="00372A62" w:rsidRPr="00FD79CA">
        <w:rPr>
          <w:rFonts w:cs="Times New Roman"/>
          <w:i/>
        </w:rPr>
        <w:t>Gerlitzki v. Feldser</w:t>
      </w:r>
      <w:r w:rsidR="00372A62" w:rsidRPr="00FD79CA">
        <w:rPr>
          <w:rFonts w:cs="Times New Roman"/>
        </w:rPr>
        <w:t>, 307 A.2d 307, 308 (Pa. Super. Ct. 1973) (en banc)</w:t>
      </w:r>
      <w:r w:rsidR="0090425A" w:rsidRPr="00FD79CA">
        <w:t xml:space="preserve"> (station wagon, truck, and television set)</w:t>
      </w:r>
      <w:r w:rsidR="00123570" w:rsidRPr="00FD79CA">
        <w:t xml:space="preserve">; </w:t>
      </w:r>
      <w:r w:rsidR="00123570" w:rsidRPr="00FD79CA">
        <w:rPr>
          <w:i/>
        </w:rPr>
        <w:t>Amrhein</w:t>
      </w:r>
      <w:r w:rsidR="00123570" w:rsidRPr="00FD79CA">
        <w:t>, 903 A.2d at 23 (considering the person’s “major debt obligations”).</w:t>
      </w:r>
      <w:r w:rsidR="000E67E3" w:rsidRPr="000E67E3">
        <w:rPr>
          <w:i/>
        </w:rPr>
        <w:t xml:space="preserve"> </w:t>
      </w:r>
    </w:p>
  </w:footnote>
  <w:footnote w:id="13">
    <w:p w14:paraId="3ED7C29B" w14:textId="30062E8E" w:rsidR="00BD5FFC" w:rsidRPr="00143ECA" w:rsidRDefault="00BD5FFC">
      <w:pPr>
        <w:pStyle w:val="FootnoteText"/>
        <w:rPr>
          <w:i/>
        </w:rPr>
      </w:pPr>
      <w:r w:rsidRPr="00FD79CA">
        <w:rPr>
          <w:rStyle w:val="FootnoteReference"/>
        </w:rPr>
        <w:footnoteRef/>
      </w:r>
      <w:r w:rsidRPr="00FD79CA">
        <w:t xml:space="preserve"> </w:t>
      </w:r>
      <w:r w:rsidRPr="00FD79CA">
        <w:rPr>
          <w:i/>
        </w:rPr>
        <w:t>Stein Enterprises</w:t>
      </w:r>
      <w:r w:rsidRPr="00FD79CA">
        <w:t>, 426 A.2d at 1132-33.</w:t>
      </w:r>
      <w:r w:rsidR="00D221A4">
        <w:t xml:space="preserve"> </w:t>
      </w:r>
      <w:r w:rsidR="00143ECA">
        <w:rPr>
          <w:i/>
        </w:rPr>
        <w:t>But see Commonwealth v.Madron</w:t>
      </w:r>
      <w:r w:rsidR="00143ECA">
        <w:t>, 488 A.2d 331, 332-33 (Pa. Super. Ct. 1985) (important purpose of making victim whole may require defendant to sell “capital assets” to pay restitution).</w:t>
      </w:r>
    </w:p>
  </w:footnote>
  <w:footnote w:id="14">
    <w:p w14:paraId="493DB885" w14:textId="0B4E8636" w:rsidR="00BD5FFC" w:rsidRPr="00FD79CA" w:rsidRDefault="00BD5FFC" w:rsidP="00BD5FFC">
      <w:pPr>
        <w:pStyle w:val="FootnoteText"/>
      </w:pPr>
      <w:r w:rsidRPr="00FD79CA">
        <w:rPr>
          <w:rStyle w:val="FootnoteReference"/>
        </w:rPr>
        <w:footnoteRef/>
      </w:r>
      <w:r w:rsidRPr="00FD79CA">
        <w:t xml:space="preserve"> </w:t>
      </w:r>
      <w:r w:rsidRPr="00FD79CA">
        <w:rPr>
          <w:i/>
        </w:rPr>
        <w:t>Commonwealth v. Martin</w:t>
      </w:r>
      <w:r w:rsidRPr="00FD79CA">
        <w:t>, 335 A.2d 424, 426 n.3 (Pa. Super. Ct. 1975) (en banc) (defendant’s “ability to pay a fine in the immediate future was seriously curtailed by the imposition of a prison term”).</w:t>
      </w:r>
    </w:p>
  </w:footnote>
  <w:footnote w:id="15">
    <w:p w14:paraId="25A21051" w14:textId="7B916119" w:rsidR="00421FD9" w:rsidRPr="00FD79CA" w:rsidRDefault="00421FD9">
      <w:pPr>
        <w:pStyle w:val="FootnoteText"/>
      </w:pPr>
      <w:r w:rsidRPr="00FD79CA">
        <w:rPr>
          <w:rStyle w:val="FootnoteReference"/>
        </w:rPr>
        <w:footnoteRef/>
      </w:r>
      <w:r w:rsidRPr="00FD79CA">
        <w:t xml:space="preserve"> Courts in </w:t>
      </w:r>
      <w:r w:rsidR="00E2582D">
        <w:t xml:space="preserve">Armstrong, </w:t>
      </w:r>
      <w:r w:rsidRPr="00FD79CA">
        <w:t xml:space="preserve">Chester, Lebanon, </w:t>
      </w:r>
      <w:r w:rsidR="009809C5" w:rsidRPr="00FD79CA">
        <w:t xml:space="preserve">Montgomery, </w:t>
      </w:r>
      <w:r w:rsidRPr="00FD79CA">
        <w:t>Philadelphia</w:t>
      </w:r>
      <w:r w:rsidR="009809C5" w:rsidRPr="00FD79CA">
        <w:t>, and Westmoreland</w:t>
      </w:r>
      <w:r w:rsidRPr="00FD79CA">
        <w:t xml:space="preserve"> counties, among others, use such forms. ACLU-PA has created a model form, which is available at: https://www.aclupa.org/index.php/download_file/view/3112/1074/.</w:t>
      </w:r>
      <w:r w:rsidR="00372A62">
        <w:t xml:space="preserve"> </w:t>
      </w:r>
    </w:p>
  </w:footnote>
  <w:footnote w:id="16">
    <w:p w14:paraId="5558AC5F" w14:textId="77777777" w:rsidR="0059641D" w:rsidRPr="00FD79CA" w:rsidRDefault="0059641D" w:rsidP="0059641D">
      <w:pPr>
        <w:pStyle w:val="FootnoteText"/>
      </w:pPr>
      <w:r w:rsidRPr="00FD79CA">
        <w:rPr>
          <w:rStyle w:val="FootnoteReference"/>
        </w:rPr>
        <w:footnoteRef/>
      </w:r>
      <w:r w:rsidRPr="00FD79CA">
        <w:t xml:space="preserve"> Pa.R.Crim.P. 706 (the question is whether “the defendant is financially able to pay”); 42. Pa. Cons. Stat. § 9730(b) (same).</w:t>
      </w:r>
    </w:p>
  </w:footnote>
  <w:footnote w:id="17">
    <w:p w14:paraId="44342B64" w14:textId="71B76B65" w:rsidR="00A52EC2" w:rsidRPr="00A52EC2" w:rsidRDefault="00A52EC2" w:rsidP="00A52EC2">
      <w:pPr>
        <w:pStyle w:val="FootnoteText"/>
      </w:pPr>
      <w:r>
        <w:rPr>
          <w:rStyle w:val="FootnoteReference"/>
        </w:rPr>
        <w:footnoteRef/>
      </w:r>
      <w:r>
        <w:t xml:space="preserve"> </w:t>
      </w:r>
      <w:r>
        <w:rPr>
          <w:i/>
        </w:rPr>
        <w:t>Smetana</w:t>
      </w:r>
      <w:r>
        <w:t xml:space="preserve">, </w:t>
      </w:r>
      <w:r w:rsidR="00F33685">
        <w:t>2018 PA Super 176</w:t>
      </w:r>
      <w:r>
        <w:t xml:space="preserve"> (“</w:t>
      </w:r>
      <w:r w:rsidRPr="00A52EC2">
        <w:t>Although Appellant indicated that he could potentially borrow money from a sibling, the court failed to find—as our law requires—that he alone had the financial ability to pay the outstanding fines and costs such that imprisonment was warranted.</w:t>
      </w:r>
      <w:r>
        <w:t>”).</w:t>
      </w:r>
    </w:p>
  </w:footnote>
  <w:footnote w:id="18">
    <w:p w14:paraId="2365B31C" w14:textId="77777777" w:rsidR="008D705C" w:rsidRPr="00FD79CA" w:rsidRDefault="008D705C" w:rsidP="008D705C">
      <w:pPr>
        <w:pStyle w:val="FootnoteText"/>
      </w:pPr>
      <w:r w:rsidRPr="00FD79CA">
        <w:rPr>
          <w:rStyle w:val="FootnoteReference"/>
        </w:rPr>
        <w:footnoteRef/>
      </w:r>
      <w:r w:rsidRPr="00FD79CA">
        <w:t xml:space="preserve"> Pa.R.Crim.P. 706(B); Pa.R.Crim.P. 454(F).</w:t>
      </w:r>
    </w:p>
  </w:footnote>
  <w:footnote w:id="19">
    <w:p w14:paraId="1E136CC8" w14:textId="77777777" w:rsidR="000817F7" w:rsidRPr="00FD79CA" w:rsidRDefault="000817F7" w:rsidP="000817F7">
      <w:pPr>
        <w:pStyle w:val="FootnoteText"/>
      </w:pPr>
      <w:r w:rsidRPr="00FD79CA">
        <w:rPr>
          <w:rStyle w:val="FootnoteReference"/>
        </w:rPr>
        <w:footnoteRef/>
      </w:r>
      <w:r w:rsidRPr="00FD79CA">
        <w:t xml:space="preserve"> </w:t>
      </w:r>
      <w:r w:rsidRPr="00FD79CA">
        <w:rPr>
          <w:i/>
        </w:rPr>
        <w:t>Parrish</w:t>
      </w:r>
      <w:r w:rsidRPr="00FD79CA">
        <w:t>, 304 A.2d at 161.</w:t>
      </w:r>
    </w:p>
  </w:footnote>
  <w:footnote w:id="20">
    <w:p w14:paraId="0F9509DF" w14:textId="77777777" w:rsidR="008D705C" w:rsidRPr="00FD79CA" w:rsidRDefault="008D705C" w:rsidP="008D705C">
      <w:pPr>
        <w:pStyle w:val="FootnoteText"/>
      </w:pPr>
      <w:r w:rsidRPr="00FD79CA">
        <w:rPr>
          <w:rStyle w:val="FootnoteReference"/>
        </w:rPr>
        <w:footnoteRef/>
      </w:r>
      <w:r w:rsidRPr="00FD79CA">
        <w:t xml:space="preserve"> Pa.R.Crim.P. 706(B) (court may impose payment plan “after hearing”); 42 Pa. Cons. Stat. § 9730(b) (same).</w:t>
      </w:r>
    </w:p>
  </w:footnote>
  <w:footnote w:id="21">
    <w:p w14:paraId="63A87B8A" w14:textId="77777777" w:rsidR="008D705C" w:rsidRPr="00FD79CA" w:rsidRDefault="008D705C" w:rsidP="008D705C">
      <w:pPr>
        <w:pStyle w:val="FootnoteText"/>
      </w:pPr>
      <w:r w:rsidRPr="00FD79CA">
        <w:rPr>
          <w:rStyle w:val="FootnoteReference"/>
        </w:rPr>
        <w:footnoteRef/>
      </w:r>
      <w:r w:rsidRPr="00FD79CA">
        <w:t xml:space="preserve"> Pa.R.Crim.P. 706(B); 42 Pa. Cons. Stat. § 9730(b)(3). </w:t>
      </w:r>
    </w:p>
  </w:footnote>
  <w:footnote w:id="22">
    <w:p w14:paraId="3023EA08" w14:textId="1B9FC1A1" w:rsidR="008F3C69" w:rsidRPr="008F3C69" w:rsidRDefault="008F3C69">
      <w:pPr>
        <w:pStyle w:val="FootnoteText"/>
      </w:pPr>
      <w:r>
        <w:rPr>
          <w:rStyle w:val="FootnoteReference"/>
        </w:rPr>
        <w:footnoteRef/>
      </w:r>
      <w:r>
        <w:t xml:space="preserve"> </w:t>
      </w:r>
      <w:r w:rsidR="000817F7">
        <w:rPr>
          <w:i/>
        </w:rPr>
        <w:t>Diaz</w:t>
      </w:r>
      <w:r w:rsidR="000817F7">
        <w:t xml:space="preserve">, 2018 PA Super 175 (invalidating $100 per month </w:t>
      </w:r>
      <w:r w:rsidR="00455E5C">
        <w:t xml:space="preserve">fines and costs </w:t>
      </w:r>
      <w:r w:rsidR="000817F7">
        <w:t>payment plan when the court failed to make findings on the record that the defendant was able to afford to pay the amount</w:t>
      </w:r>
      <w:r w:rsidR="000817F7">
        <w:rPr>
          <w:rStyle w:val="cohighlightpoints"/>
          <w:rFonts w:cs="Times New Roman"/>
        </w:rPr>
        <w:t xml:space="preserve">); </w:t>
      </w:r>
      <w:r w:rsidR="000817F7">
        <w:rPr>
          <w:i/>
        </w:rPr>
        <w:t>Smetana</w:t>
      </w:r>
      <w:r w:rsidR="000817F7">
        <w:t>, 2018 PA Super 176 (same)</w:t>
      </w:r>
      <w:r w:rsidR="00723722">
        <w:t xml:space="preserve">; </w:t>
      </w:r>
      <w:r>
        <w:rPr>
          <w:i/>
        </w:rPr>
        <w:t>Commonwealth v. Wood</w:t>
      </w:r>
      <w:r>
        <w:t>, 446 A.2d 948, 950 (Pa. Super. Ct. 1982) (rehabilitative goal of restitution may require that the defendant make “substantial sacrifices” to pay, but th</w:t>
      </w:r>
      <w:r w:rsidR="00143ECA">
        <w:t>at</w:t>
      </w:r>
      <w:r>
        <w:t xml:space="preserve"> rehabilitative goal is defeated “</w:t>
      </w:r>
      <w:r w:rsidRPr="008F3C69">
        <w:t xml:space="preserve">when the payments ordered by the court are so unreasonable in view of the defendant's financial circumstances and ability to work that, despite good faith efforts, the </w:t>
      </w:r>
      <w:r>
        <w:t>defendant cannot hope to comply”).</w:t>
      </w:r>
    </w:p>
  </w:footnote>
  <w:footnote w:id="23">
    <w:p w14:paraId="580BB9EC" w14:textId="77777777" w:rsidR="008D705C" w:rsidRPr="00FD79CA" w:rsidRDefault="008D705C" w:rsidP="008D705C">
      <w:pPr>
        <w:pStyle w:val="FootnoteText"/>
      </w:pPr>
      <w:r w:rsidRPr="00FD79CA">
        <w:rPr>
          <w:rStyle w:val="FootnoteReference"/>
        </w:rPr>
        <w:footnoteRef/>
      </w:r>
      <w:r w:rsidRPr="00FD79CA">
        <w:t xml:space="preserve"> </w:t>
      </w:r>
      <w:r w:rsidRPr="00FD79CA">
        <w:rPr>
          <w:rFonts w:eastAsia="Times New Roman" w:cs="Times New Roman"/>
          <w:i/>
        </w:rPr>
        <w:t>Lawson v. Commonwealth</w:t>
      </w:r>
      <w:r w:rsidRPr="00FD79CA">
        <w:rPr>
          <w:rFonts w:eastAsia="Times New Roman" w:cs="Times New Roman"/>
        </w:rPr>
        <w:t>, 524 A.2d 1053, 1056-57 (Pa. Commw. Ct. 1987) (approving monthly $5 payment plan where the defendant provided no evidence he was indigent</w:t>
      </w:r>
      <w:r w:rsidRPr="00FD79CA">
        <w:t>).</w:t>
      </w:r>
    </w:p>
  </w:footnote>
  <w:footnote w:id="24">
    <w:p w14:paraId="54E86621" w14:textId="77777777" w:rsidR="008D705C" w:rsidRPr="00FD79CA" w:rsidRDefault="008D705C" w:rsidP="008D705C">
      <w:pPr>
        <w:pStyle w:val="FootnoteText"/>
      </w:pPr>
      <w:r w:rsidRPr="00FD79CA">
        <w:rPr>
          <w:rStyle w:val="FootnoteReference"/>
        </w:rPr>
        <w:footnoteRef/>
      </w:r>
      <w:r w:rsidRPr="00FD79CA">
        <w:t xml:space="preserve"> Pa.R.Crim.P. 706(D); 42 Pa. Cons. Stat. § 9730(b)(3).</w:t>
      </w:r>
    </w:p>
  </w:footnote>
  <w:footnote w:id="25">
    <w:p w14:paraId="72A2E032" w14:textId="77777777" w:rsidR="008D705C" w:rsidRPr="00FD79CA" w:rsidRDefault="008D705C" w:rsidP="008D705C">
      <w:pPr>
        <w:pStyle w:val="FootnoteText"/>
      </w:pPr>
      <w:r w:rsidRPr="00FD79CA">
        <w:rPr>
          <w:rStyle w:val="FootnoteReference"/>
        </w:rPr>
        <w:footnoteRef/>
      </w:r>
      <w:r w:rsidRPr="00FD79CA">
        <w:t xml:space="preserve"> </w:t>
      </w:r>
      <w:r w:rsidRPr="00FD79CA">
        <w:rPr>
          <w:i/>
        </w:rPr>
        <w:t>Id</w:t>
      </w:r>
      <w:r w:rsidRPr="00FD79CA">
        <w:t>. (once the defendant shows he is unable to pay, “the court may extend or accelerate the payment schedule or leave it unaltered, as the court finds to be just and practicable under the circumstances of record.”).</w:t>
      </w:r>
    </w:p>
  </w:footnote>
  <w:footnote w:id="26">
    <w:p w14:paraId="77787A02" w14:textId="0D398331" w:rsidR="00912EB8" w:rsidRPr="00912EB8" w:rsidRDefault="00912EB8">
      <w:pPr>
        <w:pStyle w:val="FootnoteText"/>
      </w:pPr>
      <w:r>
        <w:rPr>
          <w:rStyle w:val="FootnoteReference"/>
        </w:rPr>
        <w:footnoteRef/>
      </w:r>
      <w:r>
        <w:t xml:space="preserve"> </w:t>
      </w:r>
      <w:r>
        <w:rPr>
          <w:i/>
        </w:rPr>
        <w:t>Lambing v. Dep’t of Corrections</w:t>
      </w:r>
      <w:r>
        <w:t xml:space="preserve">, 488 M.D. 2017, </w:t>
      </w:r>
      <w:r w:rsidRPr="00912EB8">
        <w:t>2020 WL 4219715</w:t>
      </w:r>
      <w:r>
        <w:t xml:space="preserve"> (Pa. Commw. C</w:t>
      </w:r>
      <w:r w:rsidR="00DB08E8">
        <w:t>t. July 23, 2020) (unpublished) (“</w:t>
      </w:r>
      <w:r w:rsidR="00DB08E8" w:rsidRPr="00DB08E8">
        <w:t xml:space="preserve">Here, the March 17, 2008 sentencing court's orders state that Lambing “shall pay the total due in monthly installments during the period of parole[.]” </w:t>
      </w:r>
      <w:r w:rsidR="00DB08E8">
        <w:t xml:space="preserve">. . </w:t>
      </w:r>
      <w:bookmarkStart w:id="0" w:name="_GoBack"/>
      <w:bookmarkEnd w:id="0"/>
      <w:r w:rsidR="00DB08E8" w:rsidRPr="00DB08E8">
        <w:t>. Thus, it is clear that the sentencing court did not authorize the Department to make deductions for court-ordered costs while Lambing is incarcerated.</w:t>
      </w:r>
      <w:r w:rsidR="00DB08E8">
        <w:t>”).</w:t>
      </w:r>
    </w:p>
  </w:footnote>
  <w:footnote w:id="27">
    <w:p w14:paraId="5705E816" w14:textId="77777777" w:rsidR="008E08FA" w:rsidRPr="00FD79CA" w:rsidRDefault="008E08FA" w:rsidP="008E08FA">
      <w:pPr>
        <w:pStyle w:val="FootnoteText"/>
      </w:pPr>
      <w:r w:rsidRPr="00FD79CA">
        <w:rPr>
          <w:rStyle w:val="FootnoteReference"/>
        </w:rPr>
        <w:footnoteRef/>
      </w:r>
      <w:r w:rsidRPr="00FD79CA">
        <w:t xml:space="preserve"> </w:t>
      </w:r>
      <w:r w:rsidRPr="00FD79CA">
        <w:rPr>
          <w:rFonts w:cs="Times New Roman"/>
          <w:i/>
        </w:rPr>
        <w:t>Commonwealth v. Eggers</w:t>
      </w:r>
      <w:r w:rsidRPr="00FD79CA">
        <w:rPr>
          <w:rFonts w:cs="Times New Roman"/>
        </w:rPr>
        <w:t xml:space="preserve">, 742 A.2d 174, 176 n.1 (Pa. Super. Ct. 1999) (receiving public assistance and the services of the public defender’s office “invite the presumption of indigence”); </w:t>
      </w:r>
      <w:r w:rsidRPr="00FD79CA">
        <w:rPr>
          <w:i/>
        </w:rPr>
        <w:t>Koziatek v. Marquett</w:t>
      </w:r>
      <w:r w:rsidRPr="00FD79CA">
        <w:t>, 484 A.2d 806, 808 (Pa. Super. Ct. 1984) (plaintiff established “prima facie case of impoverishment” when the “sole source of support was a monthly disability payment”).</w:t>
      </w:r>
    </w:p>
  </w:footnote>
  <w:footnote w:id="28">
    <w:p w14:paraId="18A56538" w14:textId="77777777" w:rsidR="008E08FA" w:rsidRPr="00EA63A2" w:rsidRDefault="008E08FA" w:rsidP="008E08FA">
      <w:pPr>
        <w:pStyle w:val="FootnoteText"/>
      </w:pPr>
      <w:r>
        <w:rPr>
          <w:rStyle w:val="FootnoteReference"/>
        </w:rPr>
        <w:footnoteRef/>
      </w:r>
      <w:r>
        <w:t xml:space="preserve"> These standards are also used in the model bench card endorsed in </w:t>
      </w:r>
      <w:r>
        <w:rPr>
          <w:i/>
        </w:rPr>
        <w:t>Diaz</w:t>
      </w:r>
      <w:r>
        <w:t xml:space="preserve">, 2018 PA Super 175 at n. 23, and </w:t>
      </w:r>
      <w:r>
        <w:rPr>
          <w:i/>
        </w:rPr>
        <w:t>Smetana</w:t>
      </w:r>
      <w:r>
        <w:t>, 2018 PA Super 176 at n. 10.</w:t>
      </w:r>
    </w:p>
  </w:footnote>
  <w:footnote w:id="29">
    <w:p w14:paraId="45D99426" w14:textId="2BC09656" w:rsidR="003C4EA9" w:rsidRPr="00FD79CA" w:rsidRDefault="003C4EA9" w:rsidP="003C4EA9">
      <w:pPr>
        <w:pStyle w:val="ListParagraph"/>
        <w:ind w:left="0"/>
        <w:rPr>
          <w:sz w:val="20"/>
          <w:szCs w:val="20"/>
        </w:rPr>
      </w:pPr>
      <w:r w:rsidRPr="00FD79CA">
        <w:rPr>
          <w:rStyle w:val="FootnoteReference"/>
          <w:sz w:val="20"/>
          <w:szCs w:val="20"/>
        </w:rPr>
        <w:footnoteRef/>
      </w:r>
      <w:r w:rsidRPr="00FD79CA">
        <w:rPr>
          <w:sz w:val="20"/>
          <w:szCs w:val="20"/>
        </w:rPr>
        <w:t xml:space="preserve"> </w:t>
      </w:r>
      <w:r w:rsidRPr="00FD79CA">
        <w:rPr>
          <w:i/>
          <w:sz w:val="20"/>
          <w:szCs w:val="20"/>
        </w:rPr>
        <w:t>Gerlitzki</w:t>
      </w:r>
      <w:r w:rsidRPr="00FD79CA">
        <w:rPr>
          <w:sz w:val="20"/>
          <w:szCs w:val="20"/>
        </w:rPr>
        <w:t xml:space="preserve">, 307 A.2d at 308 (whether a person can pay depends on “whether he is able to obtain the necessities of life.”); </w:t>
      </w:r>
      <w:r w:rsidRPr="00FD79CA">
        <w:rPr>
          <w:i/>
          <w:sz w:val="20"/>
          <w:szCs w:val="20"/>
        </w:rPr>
        <w:t>Stein Enterprises</w:t>
      </w:r>
      <w:r w:rsidRPr="00FD79CA">
        <w:rPr>
          <w:sz w:val="20"/>
          <w:szCs w:val="20"/>
        </w:rPr>
        <w:t xml:space="preserve">, 426 A.2d </w:t>
      </w:r>
      <w:r w:rsidR="00005E87">
        <w:rPr>
          <w:sz w:val="20"/>
          <w:szCs w:val="20"/>
        </w:rPr>
        <w:t xml:space="preserve">at </w:t>
      </w:r>
      <w:r w:rsidRPr="00FD79CA">
        <w:rPr>
          <w:sz w:val="20"/>
          <w:szCs w:val="20"/>
        </w:rPr>
        <w:t>1132 (“if the individual can afford to pay court costs only by sacrificing some of the items and services which are necessary for his day-to-day existence, he may not be forced to prepay costs in order to gain access to the courts, despite the fact that he may have some ‘excess’ income or unencumbered assets.”).</w:t>
      </w:r>
    </w:p>
  </w:footnote>
  <w:footnote w:id="30">
    <w:p w14:paraId="7753009D" w14:textId="084094F9" w:rsidR="008D705C" w:rsidRPr="00143ECA" w:rsidRDefault="008D705C" w:rsidP="00143ECA">
      <w:pPr>
        <w:pStyle w:val="FootnoteText"/>
      </w:pPr>
      <w:r w:rsidRPr="00FD79CA">
        <w:rPr>
          <w:rStyle w:val="FootnoteReference"/>
        </w:rPr>
        <w:footnoteRef/>
      </w:r>
      <w:r w:rsidRPr="00FD79CA">
        <w:t xml:space="preserve"> </w:t>
      </w:r>
      <w:r w:rsidRPr="00FD79CA">
        <w:rPr>
          <w:rStyle w:val="cohighlightpoints"/>
          <w:i/>
        </w:rPr>
        <w:t>Hernandez</w:t>
      </w:r>
      <w:r w:rsidRPr="00FD79CA">
        <w:rPr>
          <w:rStyle w:val="cohighlightpoints"/>
        </w:rPr>
        <w:t xml:space="preserve">, 917 A.2d </w:t>
      </w:r>
      <w:r w:rsidR="00B52E30">
        <w:rPr>
          <w:rStyle w:val="cohighlightpoints"/>
        </w:rPr>
        <w:t>at</w:t>
      </w:r>
      <w:r w:rsidRPr="00FD79CA">
        <w:rPr>
          <w:rStyle w:val="cohighlightpoints"/>
        </w:rPr>
        <w:t xml:space="preserve"> 337. Accordingly, the </w:t>
      </w:r>
      <w:r w:rsidRPr="00FD79CA">
        <w:rPr>
          <w:rStyle w:val="cohighlightpoints"/>
          <w:i/>
        </w:rPr>
        <w:t>Hernandez</w:t>
      </w:r>
      <w:r w:rsidRPr="00FD79CA">
        <w:t xml:space="preserve"> court cited with approval </w:t>
      </w:r>
      <w:r w:rsidRPr="00FD79CA">
        <w:rPr>
          <w:rFonts w:eastAsia="Times New Roman" w:cs="Times New Roman"/>
          <w:i/>
          <w:iCs/>
        </w:rPr>
        <w:t>Alexander v. Johnson</w:t>
      </w:r>
      <w:r w:rsidRPr="00FD79CA">
        <w:rPr>
          <w:rFonts w:eastAsia="Times New Roman" w:cs="Times New Roman"/>
        </w:rPr>
        <w:t xml:space="preserve">, 742 F.2d 117, 124 (4th Cir. 1984), which held that a court must consider “the other demands on [the defendant’s] own and family's finances, and the hardships he or his family will endure if repayment is required. The purpose of this inquiry is to assure repayment is not required as long as he remains indigent.” </w:t>
      </w:r>
      <w:r w:rsidRPr="00FD79CA">
        <w:rPr>
          <w:rFonts w:eastAsia="Times New Roman" w:cs="Times New Roman"/>
          <w:i/>
        </w:rPr>
        <w:t>See also</w:t>
      </w:r>
      <w:r w:rsidRPr="00FD79CA">
        <w:rPr>
          <w:rFonts w:eastAsia="Times New Roman" w:cs="Times New Roman"/>
        </w:rPr>
        <w:t xml:space="preserve"> </w:t>
      </w:r>
      <w:r w:rsidRPr="00FD79CA">
        <w:rPr>
          <w:rFonts w:eastAsia="Times New Roman" w:cs="Times New Roman"/>
          <w:i/>
          <w:iCs/>
        </w:rPr>
        <w:t>People v. Jackson</w:t>
      </w:r>
      <w:r w:rsidRPr="00FD79CA">
        <w:rPr>
          <w:rFonts w:eastAsia="Times New Roman" w:cs="Times New Roman"/>
        </w:rPr>
        <w:t xml:space="preserve">, 789 N.W.2d 630, 639 (Mich. 2009) (noting that </w:t>
      </w:r>
      <w:r w:rsidRPr="00FD79CA">
        <w:rPr>
          <w:rFonts w:eastAsia="Times New Roman" w:cs="Times New Roman"/>
          <w:i/>
        </w:rPr>
        <w:t>Alexander</w:t>
      </w:r>
      <w:r w:rsidRPr="00FD79CA">
        <w:rPr>
          <w:rFonts w:eastAsia="Times New Roman" w:cs="Times New Roman"/>
        </w:rPr>
        <w:t xml:space="preserve"> “requires that a truly indigent defendant never be required to pay the fee”).</w:t>
      </w:r>
      <w:r w:rsidR="00143ECA">
        <w:rPr>
          <w:rFonts w:eastAsia="Times New Roman" w:cs="Times New Roman"/>
        </w:rPr>
        <w:t xml:space="preserve"> </w:t>
      </w:r>
      <w:r w:rsidR="00143ECA">
        <w:rPr>
          <w:rFonts w:eastAsia="Times New Roman" w:cs="Times New Roman"/>
          <w:i/>
        </w:rPr>
        <w:t xml:space="preserve">See also </w:t>
      </w:r>
      <w:r w:rsidR="00143ECA">
        <w:rPr>
          <w:i/>
        </w:rPr>
        <w:t>Diaz</w:t>
      </w:r>
      <w:r w:rsidR="00143ECA">
        <w:t xml:space="preserve">, 2018 PA Super </w:t>
      </w:r>
      <w:r w:rsidR="00E41DED">
        <w:t>175</w:t>
      </w:r>
      <w:r w:rsidR="00143ECA">
        <w:t xml:space="preserve"> at n.24 (</w:t>
      </w:r>
      <w:r w:rsidR="006E7B0D">
        <w:t xml:space="preserve">a finding of </w:t>
      </w:r>
      <w:r w:rsidR="00143ECA" w:rsidRPr="00F33271">
        <w:rPr>
          <w:rStyle w:val="cohighlightpoints"/>
          <w:rFonts w:cs="Times New Roman"/>
        </w:rPr>
        <w:t>indigence “preclude[s] any determination” that the defe</w:t>
      </w:r>
      <w:r w:rsidR="00143ECA">
        <w:rPr>
          <w:rStyle w:val="cohighlightpoints"/>
          <w:rFonts w:cs="Times New Roman"/>
        </w:rPr>
        <w:t>ndant’s nonpayment “was willful</w:t>
      </w:r>
      <w:r w:rsidR="00143ECA" w:rsidRPr="00F33271">
        <w:rPr>
          <w:rStyle w:val="cohighlightpoints"/>
          <w:rFonts w:cs="Times New Roman"/>
        </w:rPr>
        <w:t>”</w:t>
      </w:r>
      <w:r w:rsidR="00143ECA">
        <w:rPr>
          <w:rStyle w:val="cohighlightpoints"/>
          <w:rFonts w:cs="Times New Roman"/>
        </w:rPr>
        <w:t xml:space="preserve"> because the defendant lacks the ability to pay).</w:t>
      </w:r>
    </w:p>
  </w:footnote>
  <w:footnote w:id="31">
    <w:p w14:paraId="47155543" w14:textId="77777777" w:rsidR="003C4EA9" w:rsidRPr="00FD79CA" w:rsidRDefault="003C4EA9" w:rsidP="003C4EA9">
      <w:pPr>
        <w:rPr>
          <w:sz w:val="20"/>
          <w:szCs w:val="20"/>
        </w:rPr>
      </w:pPr>
      <w:r w:rsidRPr="00FD79CA">
        <w:rPr>
          <w:rStyle w:val="FootnoteReference"/>
          <w:sz w:val="20"/>
          <w:szCs w:val="20"/>
        </w:rPr>
        <w:footnoteRef/>
      </w:r>
      <w:r w:rsidRPr="00FD79CA">
        <w:rPr>
          <w:sz w:val="20"/>
          <w:szCs w:val="20"/>
        </w:rPr>
        <w:t xml:space="preserve"> </w:t>
      </w:r>
      <w:r w:rsidRPr="00FD79CA">
        <w:rPr>
          <w:i/>
          <w:sz w:val="20"/>
          <w:szCs w:val="20"/>
        </w:rPr>
        <w:t>Commonwealth v. Cannon</w:t>
      </w:r>
      <w:r w:rsidRPr="00FD79CA">
        <w:rPr>
          <w:sz w:val="20"/>
          <w:szCs w:val="20"/>
        </w:rPr>
        <w:t xml:space="preserve">, 954 A.2d 1222, 1226 (Pa. Super. Ct. 2008); </w:t>
      </w:r>
      <w:r w:rsidRPr="00FD79CA">
        <w:rPr>
          <w:rFonts w:eastAsia="Times New Roman" w:cs="Times New Roman"/>
          <w:i/>
          <w:sz w:val="20"/>
          <w:szCs w:val="20"/>
        </w:rPr>
        <w:t>Commonwealth v. Lepre</w:t>
      </w:r>
      <w:r w:rsidRPr="00FD79CA">
        <w:rPr>
          <w:rFonts w:eastAsia="Times New Roman" w:cs="Times New Roman"/>
          <w:sz w:val="20"/>
          <w:szCs w:val="20"/>
        </w:rPr>
        <w:t>, 18 A.3d 1225, 1226 (Pa. Super. Ct. 2011).</w:t>
      </w:r>
    </w:p>
  </w:footnote>
  <w:footnote w:id="32">
    <w:p w14:paraId="1874D4EB" w14:textId="77777777" w:rsidR="00CB1688" w:rsidRPr="00FD79CA" w:rsidRDefault="00CB1688" w:rsidP="00CB1688">
      <w:pPr>
        <w:pStyle w:val="FootnoteText"/>
      </w:pPr>
      <w:r w:rsidRPr="00FD79CA">
        <w:rPr>
          <w:rStyle w:val="FootnoteReference"/>
        </w:rPr>
        <w:footnoteRef/>
      </w:r>
      <w:r w:rsidRPr="00FD79CA">
        <w:t xml:space="preserve"> </w:t>
      </w:r>
      <w:r w:rsidRPr="00FD79CA">
        <w:rPr>
          <w:i/>
        </w:rPr>
        <w:t>Commonwealth v. Gaskin</w:t>
      </w:r>
      <w:r w:rsidRPr="00FD79CA">
        <w:t>, 472 A.2d 1154, 1157-58 (Pa. Super. Ct. 1984).</w:t>
      </w:r>
    </w:p>
  </w:footnote>
  <w:footnote w:id="33">
    <w:p w14:paraId="5518EC39" w14:textId="4CC07ADE" w:rsidR="003C4EA9" w:rsidRPr="00FD79CA" w:rsidRDefault="003C4EA9" w:rsidP="003C4EA9">
      <w:pPr>
        <w:pStyle w:val="FootnoteText"/>
      </w:pPr>
      <w:r w:rsidRPr="00FD79CA">
        <w:rPr>
          <w:rStyle w:val="FootnoteReference"/>
        </w:rPr>
        <w:footnoteRef/>
      </w:r>
      <w:r w:rsidRPr="00FD79CA">
        <w:t xml:space="preserve"> </w:t>
      </w:r>
      <w:r w:rsidR="009645E0">
        <w:rPr>
          <w:i/>
        </w:rPr>
        <w:t>Stein Enterprises</w:t>
      </w:r>
      <w:r w:rsidRPr="00FD79CA">
        <w:t xml:space="preserve">, 426 A.2d </w:t>
      </w:r>
      <w:r w:rsidR="009645E0">
        <w:t>at</w:t>
      </w:r>
      <w:r w:rsidRPr="00FD79CA">
        <w:t xml:space="preserve"> 1132.</w:t>
      </w:r>
    </w:p>
  </w:footnote>
  <w:footnote w:id="34">
    <w:p w14:paraId="382B3108" w14:textId="63FE2FBA" w:rsidR="00C3013D" w:rsidRPr="00FD79CA" w:rsidRDefault="00C3013D" w:rsidP="00C3013D">
      <w:pPr>
        <w:rPr>
          <w:sz w:val="20"/>
          <w:szCs w:val="20"/>
        </w:rPr>
      </w:pPr>
      <w:r w:rsidRPr="00FD79CA">
        <w:rPr>
          <w:rStyle w:val="FootnoteReference"/>
          <w:sz w:val="20"/>
          <w:szCs w:val="20"/>
        </w:rPr>
        <w:footnoteRef/>
      </w:r>
      <w:r w:rsidRPr="00FD79CA">
        <w:rPr>
          <w:sz w:val="20"/>
          <w:szCs w:val="20"/>
        </w:rPr>
        <w:t xml:space="preserve"> </w:t>
      </w:r>
      <w:r w:rsidRPr="00FD79CA">
        <w:rPr>
          <w:i/>
          <w:sz w:val="20"/>
          <w:szCs w:val="20"/>
        </w:rPr>
        <w:t>Gerlitzki</w:t>
      </w:r>
      <w:r w:rsidRPr="00FD79CA">
        <w:rPr>
          <w:sz w:val="20"/>
          <w:szCs w:val="20"/>
        </w:rPr>
        <w:t xml:space="preserve">, 307 A.2d </w:t>
      </w:r>
      <w:r w:rsidR="00B66485">
        <w:rPr>
          <w:sz w:val="20"/>
          <w:szCs w:val="20"/>
        </w:rPr>
        <w:t>at</w:t>
      </w:r>
      <w:r w:rsidRPr="00FD79CA">
        <w:rPr>
          <w:sz w:val="20"/>
          <w:szCs w:val="20"/>
        </w:rPr>
        <w:t xml:space="preserve"> 308.</w:t>
      </w:r>
    </w:p>
  </w:footnote>
  <w:footnote w:id="35">
    <w:p w14:paraId="6C04D014" w14:textId="4B01A5C2" w:rsidR="00C3013D" w:rsidRPr="00FD79CA" w:rsidRDefault="00C3013D">
      <w:pPr>
        <w:pStyle w:val="FootnoteText"/>
      </w:pPr>
      <w:r w:rsidRPr="00FD79CA">
        <w:rPr>
          <w:rStyle w:val="FootnoteReference"/>
        </w:rPr>
        <w:footnoteRef/>
      </w:r>
      <w:r w:rsidRPr="00FD79CA">
        <w:t xml:space="preserve"> </w:t>
      </w:r>
      <w:r w:rsidRPr="00FD79CA">
        <w:rPr>
          <w:i/>
        </w:rPr>
        <w:t>Schoepple</w:t>
      </w:r>
      <w:r w:rsidRPr="00FD79CA">
        <w:t>, 361 A.2d</w:t>
      </w:r>
      <w:r w:rsidR="00B66485">
        <w:t xml:space="preserve"> at 667.</w:t>
      </w:r>
    </w:p>
  </w:footnote>
  <w:footnote w:id="36">
    <w:p w14:paraId="0FAF76BF" w14:textId="03016F3B" w:rsidR="00C3013D" w:rsidRPr="00FD79CA" w:rsidRDefault="00C3013D">
      <w:pPr>
        <w:pStyle w:val="FootnoteText"/>
      </w:pPr>
      <w:r w:rsidRPr="00FD79CA">
        <w:rPr>
          <w:rStyle w:val="FootnoteReference"/>
        </w:rPr>
        <w:footnoteRef/>
      </w:r>
      <w:r w:rsidRPr="00FD79CA">
        <w:t xml:space="preserve"> </w:t>
      </w:r>
      <w:r w:rsidRPr="00FD79CA">
        <w:rPr>
          <w:i/>
        </w:rPr>
        <w:t>Stein Enterprises</w:t>
      </w:r>
      <w:r w:rsidRPr="00FD79CA">
        <w:t xml:space="preserve">, 426 A.2d </w:t>
      </w:r>
      <w:r w:rsidR="00421873">
        <w:t>at</w:t>
      </w:r>
      <w:r w:rsidRPr="00FD79CA">
        <w:t xml:space="preserve"> 1132-33.</w:t>
      </w:r>
    </w:p>
  </w:footnote>
  <w:footnote w:id="37">
    <w:p w14:paraId="596B2B04" w14:textId="77BFC862" w:rsidR="00163D27" w:rsidRPr="00FD79CA" w:rsidRDefault="00163D27" w:rsidP="00163D27">
      <w:pPr>
        <w:pStyle w:val="FootnoteText"/>
      </w:pPr>
      <w:r w:rsidRPr="00FD79CA">
        <w:rPr>
          <w:rStyle w:val="FootnoteReference"/>
        </w:rPr>
        <w:footnoteRef/>
      </w:r>
      <w:r w:rsidR="002D405F">
        <w:t xml:space="preserve"> </w:t>
      </w:r>
      <w:r w:rsidR="002D405F">
        <w:rPr>
          <w:i/>
        </w:rPr>
        <w:t>See Diaz</w:t>
      </w:r>
      <w:r w:rsidR="002D405F">
        <w:t>, 2018 PA Super 1</w:t>
      </w:r>
      <w:r w:rsidR="00E41DED">
        <w:t>75</w:t>
      </w:r>
      <w:r w:rsidR="002D405F">
        <w:t xml:space="preserve"> at n. 23 (endorsing the use of the</w:t>
      </w:r>
      <w:r w:rsidR="007308F1">
        <w:t xml:space="preserve"> model</w:t>
      </w:r>
      <w:r w:rsidR="00FB08A4">
        <w:t xml:space="preserve"> bench card released by the</w:t>
      </w:r>
      <w:r w:rsidR="002D405F">
        <w:t xml:space="preserve"> </w:t>
      </w:r>
      <w:r w:rsidR="002D405F" w:rsidRPr="00FD79CA">
        <w:rPr>
          <w:rFonts w:cs="Times New Roman"/>
        </w:rPr>
        <w:t xml:space="preserve">Conference of Chief Justices and Conference of State Court Administrators’ National Task Force on Fines, Fees and Bail Practices, available at </w:t>
      </w:r>
      <w:hyperlink r:id="rId1" w:history="1">
        <w:r w:rsidR="002D405F" w:rsidRPr="00493D30">
          <w:rPr>
            <w:rStyle w:val="Hyperlink"/>
            <w:rFonts w:cs="Times New Roman"/>
          </w:rPr>
          <w:t>http://www.ncsc.org/~/media/Images/Topics/Fines%20Fees/BenchCard_FINAL_Feb2_2017.ashx</w:t>
        </w:r>
      </w:hyperlink>
      <w:r w:rsidR="002D405F">
        <w:rPr>
          <w:rFonts w:cs="Times New Roman"/>
        </w:rPr>
        <w:t xml:space="preserve">, which uses 125% of the federal poverty guidelines as a benchmark for determining indigence). </w:t>
      </w:r>
      <w:r w:rsidR="002D405F">
        <w:rPr>
          <w:rFonts w:cs="Times New Roman"/>
          <w:i/>
        </w:rPr>
        <w:t xml:space="preserve">See also </w:t>
      </w:r>
      <w:r w:rsidRPr="00FD79CA">
        <w:rPr>
          <w:rFonts w:cs="Times New Roman"/>
          <w:i/>
        </w:rPr>
        <w:t>Stein Enterprises</w:t>
      </w:r>
      <w:r w:rsidRPr="00FD79CA">
        <w:rPr>
          <w:rFonts w:cs="Times New Roman"/>
        </w:rPr>
        <w:t xml:space="preserve">, 426 A.2d </w:t>
      </w:r>
      <w:r w:rsidR="00E27BD4">
        <w:rPr>
          <w:rFonts w:cs="Times New Roman"/>
        </w:rPr>
        <w:t>at 1131</w:t>
      </w:r>
      <w:r w:rsidRPr="00FD79CA">
        <w:rPr>
          <w:rFonts w:cs="Times New Roman"/>
        </w:rPr>
        <w:t xml:space="preserve"> (granting in forma pauperis status for individual whose annual income in 2017 dollars was $13,652); </w:t>
      </w:r>
      <w:r w:rsidRPr="00FD79CA">
        <w:rPr>
          <w:rFonts w:cs="Times New Roman"/>
          <w:i/>
        </w:rPr>
        <w:t>Gerlitzki</w:t>
      </w:r>
      <w:r w:rsidRPr="00FD79CA">
        <w:rPr>
          <w:rFonts w:cs="Times New Roman"/>
        </w:rPr>
        <w:t xml:space="preserve">, 307 A.2d </w:t>
      </w:r>
      <w:r w:rsidR="00E27BD4">
        <w:rPr>
          <w:rFonts w:cs="Times New Roman"/>
        </w:rPr>
        <w:t xml:space="preserve">at 308 </w:t>
      </w:r>
      <w:r w:rsidRPr="00FD79CA">
        <w:rPr>
          <w:rFonts w:cs="Times New Roman"/>
        </w:rPr>
        <w:t>(granting in forma pauperis status for a couple whose annual income in 2017 dollars was $29,531).</w:t>
      </w:r>
    </w:p>
  </w:footnote>
  <w:footnote w:id="38">
    <w:p w14:paraId="15397473" w14:textId="42D1D7CD" w:rsidR="008D705C" w:rsidRPr="002C4E72" w:rsidRDefault="008D705C" w:rsidP="008D705C">
      <w:pPr>
        <w:pStyle w:val="FootnoteText"/>
        <w:rPr>
          <w:i/>
        </w:rPr>
      </w:pPr>
      <w:r w:rsidRPr="00FD79CA">
        <w:rPr>
          <w:rStyle w:val="FootnoteReference"/>
        </w:rPr>
        <w:footnoteRef/>
      </w:r>
      <w:r w:rsidRPr="00FD79CA">
        <w:t xml:space="preserve"> </w:t>
      </w:r>
      <w:r w:rsidRPr="00FD79CA">
        <w:rPr>
          <w:i/>
        </w:rPr>
        <w:t>Bearden v. Georgia</w:t>
      </w:r>
      <w:r w:rsidR="002C4E72">
        <w:t xml:space="preserve">, 461 U.S. 660, 671 (1983); </w:t>
      </w:r>
      <w:r w:rsidR="002C4E72">
        <w:rPr>
          <w:rFonts w:cs="Times New Roman"/>
          <w:i/>
        </w:rPr>
        <w:t>Commonwealth ex rel. Wright v. Hendrick</w:t>
      </w:r>
      <w:r w:rsidR="002C4E72">
        <w:rPr>
          <w:rFonts w:cs="Times New Roman"/>
        </w:rPr>
        <w:t xml:space="preserve">, 312 A.2d 402, 404 (Pa. 1973) (defendant who </w:t>
      </w:r>
      <w:r w:rsidR="006629B6">
        <w:rPr>
          <w:rFonts w:cs="Times New Roman"/>
        </w:rPr>
        <w:t>was</w:t>
      </w:r>
      <w:r w:rsidR="002C4E72">
        <w:rPr>
          <w:rFonts w:cs="Times New Roman"/>
        </w:rPr>
        <w:t xml:space="preserve"> “penniless,” had been unemployed for more than six months “despite efforts to gain employment,” and was being supported by family was not in willful noncompliance with a support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C79"/>
    <w:multiLevelType w:val="hybridMultilevel"/>
    <w:tmpl w:val="43B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B56AC"/>
    <w:multiLevelType w:val="hybridMultilevel"/>
    <w:tmpl w:val="B65216A8"/>
    <w:lvl w:ilvl="0" w:tplc="80C0B8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52554"/>
    <w:multiLevelType w:val="hybridMultilevel"/>
    <w:tmpl w:val="77E89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4464E"/>
    <w:multiLevelType w:val="hybridMultilevel"/>
    <w:tmpl w:val="A72A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A6081"/>
    <w:multiLevelType w:val="hybridMultilevel"/>
    <w:tmpl w:val="F3BC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07A31"/>
    <w:multiLevelType w:val="hybridMultilevel"/>
    <w:tmpl w:val="E1760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B2BAE"/>
    <w:multiLevelType w:val="hybridMultilevel"/>
    <w:tmpl w:val="A426C45A"/>
    <w:lvl w:ilvl="0" w:tplc="303835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44191"/>
    <w:multiLevelType w:val="hybridMultilevel"/>
    <w:tmpl w:val="24846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03EF6"/>
    <w:multiLevelType w:val="hybridMultilevel"/>
    <w:tmpl w:val="6DE0B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76438B7"/>
    <w:multiLevelType w:val="hybridMultilevel"/>
    <w:tmpl w:val="21B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AB6CFF"/>
    <w:multiLevelType w:val="hybridMultilevel"/>
    <w:tmpl w:val="9524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0"/>
  </w:num>
  <w:num w:numId="7">
    <w:abstractNumId w:val="1"/>
  </w:num>
  <w:num w:numId="8">
    <w:abstractNumId w:val="7"/>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CF"/>
    <w:rsid w:val="00000440"/>
    <w:rsid w:val="00005E87"/>
    <w:rsid w:val="0002314C"/>
    <w:rsid w:val="00047D17"/>
    <w:rsid w:val="00055777"/>
    <w:rsid w:val="00065CF0"/>
    <w:rsid w:val="000817F7"/>
    <w:rsid w:val="000E67E3"/>
    <w:rsid w:val="00103C9B"/>
    <w:rsid w:val="00107564"/>
    <w:rsid w:val="00123570"/>
    <w:rsid w:val="00143ECA"/>
    <w:rsid w:val="00153EFA"/>
    <w:rsid w:val="00160B2A"/>
    <w:rsid w:val="00163D27"/>
    <w:rsid w:val="001677AA"/>
    <w:rsid w:val="00186E65"/>
    <w:rsid w:val="001B5458"/>
    <w:rsid w:val="001D2386"/>
    <w:rsid w:val="001E3958"/>
    <w:rsid w:val="001E6898"/>
    <w:rsid w:val="00213A38"/>
    <w:rsid w:val="0024788F"/>
    <w:rsid w:val="00263133"/>
    <w:rsid w:val="002839DD"/>
    <w:rsid w:val="002A40AF"/>
    <w:rsid w:val="002B2256"/>
    <w:rsid w:val="002C4E72"/>
    <w:rsid w:val="002D405F"/>
    <w:rsid w:val="002E472D"/>
    <w:rsid w:val="002E6A0E"/>
    <w:rsid w:val="0030762A"/>
    <w:rsid w:val="00316A9C"/>
    <w:rsid w:val="00326A82"/>
    <w:rsid w:val="00354276"/>
    <w:rsid w:val="003703FB"/>
    <w:rsid w:val="00372A62"/>
    <w:rsid w:val="0039020E"/>
    <w:rsid w:val="003C46AE"/>
    <w:rsid w:val="003C4EA9"/>
    <w:rsid w:val="003E6058"/>
    <w:rsid w:val="00421873"/>
    <w:rsid w:val="00421FD9"/>
    <w:rsid w:val="00455E5C"/>
    <w:rsid w:val="004753F3"/>
    <w:rsid w:val="004926F3"/>
    <w:rsid w:val="004B701C"/>
    <w:rsid w:val="004E7895"/>
    <w:rsid w:val="005555CF"/>
    <w:rsid w:val="005630A7"/>
    <w:rsid w:val="0059641D"/>
    <w:rsid w:val="005B25AF"/>
    <w:rsid w:val="005B47DB"/>
    <w:rsid w:val="005B4F2B"/>
    <w:rsid w:val="0061398C"/>
    <w:rsid w:val="00622B99"/>
    <w:rsid w:val="0062490B"/>
    <w:rsid w:val="006629B6"/>
    <w:rsid w:val="006E7B0D"/>
    <w:rsid w:val="00700D14"/>
    <w:rsid w:val="00723722"/>
    <w:rsid w:val="0073006A"/>
    <w:rsid w:val="007306C5"/>
    <w:rsid w:val="007308F1"/>
    <w:rsid w:val="00753E91"/>
    <w:rsid w:val="007549C0"/>
    <w:rsid w:val="00771EB3"/>
    <w:rsid w:val="00776496"/>
    <w:rsid w:val="00794A7F"/>
    <w:rsid w:val="007C0F10"/>
    <w:rsid w:val="007C1E51"/>
    <w:rsid w:val="007C62FE"/>
    <w:rsid w:val="00855EBA"/>
    <w:rsid w:val="00875BC0"/>
    <w:rsid w:val="00894265"/>
    <w:rsid w:val="00896D1E"/>
    <w:rsid w:val="008D5CC3"/>
    <w:rsid w:val="008D705C"/>
    <w:rsid w:val="008E08FA"/>
    <w:rsid w:val="008F3C69"/>
    <w:rsid w:val="0090425A"/>
    <w:rsid w:val="00912EB8"/>
    <w:rsid w:val="00933245"/>
    <w:rsid w:val="00954754"/>
    <w:rsid w:val="009645E0"/>
    <w:rsid w:val="0097289B"/>
    <w:rsid w:val="009809C5"/>
    <w:rsid w:val="009A386C"/>
    <w:rsid w:val="009C3069"/>
    <w:rsid w:val="009F508E"/>
    <w:rsid w:val="00A04DAF"/>
    <w:rsid w:val="00A24063"/>
    <w:rsid w:val="00A37072"/>
    <w:rsid w:val="00A52EC2"/>
    <w:rsid w:val="00A60417"/>
    <w:rsid w:val="00A70F59"/>
    <w:rsid w:val="00A75745"/>
    <w:rsid w:val="00AA11FA"/>
    <w:rsid w:val="00AC6BC3"/>
    <w:rsid w:val="00AE608F"/>
    <w:rsid w:val="00AF1F87"/>
    <w:rsid w:val="00B04C39"/>
    <w:rsid w:val="00B12872"/>
    <w:rsid w:val="00B2792F"/>
    <w:rsid w:val="00B46050"/>
    <w:rsid w:val="00B52E30"/>
    <w:rsid w:val="00B66485"/>
    <w:rsid w:val="00B81F90"/>
    <w:rsid w:val="00BA2083"/>
    <w:rsid w:val="00BD375A"/>
    <w:rsid w:val="00BD40F1"/>
    <w:rsid w:val="00BD5FFC"/>
    <w:rsid w:val="00BE644C"/>
    <w:rsid w:val="00C261CB"/>
    <w:rsid w:val="00C3013D"/>
    <w:rsid w:val="00C55BF7"/>
    <w:rsid w:val="00C70E27"/>
    <w:rsid w:val="00C73821"/>
    <w:rsid w:val="00C94E06"/>
    <w:rsid w:val="00CA1EC0"/>
    <w:rsid w:val="00CB1688"/>
    <w:rsid w:val="00CD4164"/>
    <w:rsid w:val="00CE36D5"/>
    <w:rsid w:val="00D00B3F"/>
    <w:rsid w:val="00D07308"/>
    <w:rsid w:val="00D10150"/>
    <w:rsid w:val="00D1185B"/>
    <w:rsid w:val="00D221A4"/>
    <w:rsid w:val="00D35492"/>
    <w:rsid w:val="00D51905"/>
    <w:rsid w:val="00D704E8"/>
    <w:rsid w:val="00DA12D8"/>
    <w:rsid w:val="00DB08E8"/>
    <w:rsid w:val="00DC1A12"/>
    <w:rsid w:val="00DD5148"/>
    <w:rsid w:val="00E040BC"/>
    <w:rsid w:val="00E13E7D"/>
    <w:rsid w:val="00E16C55"/>
    <w:rsid w:val="00E20771"/>
    <w:rsid w:val="00E2582D"/>
    <w:rsid w:val="00E26BBA"/>
    <w:rsid w:val="00E27BD4"/>
    <w:rsid w:val="00E41DED"/>
    <w:rsid w:val="00E56D3A"/>
    <w:rsid w:val="00E62B71"/>
    <w:rsid w:val="00E67476"/>
    <w:rsid w:val="00E92696"/>
    <w:rsid w:val="00EA4092"/>
    <w:rsid w:val="00EA63A2"/>
    <w:rsid w:val="00EC4853"/>
    <w:rsid w:val="00F06B07"/>
    <w:rsid w:val="00F33685"/>
    <w:rsid w:val="00F605F0"/>
    <w:rsid w:val="00F73D02"/>
    <w:rsid w:val="00F8151B"/>
    <w:rsid w:val="00FB08A4"/>
    <w:rsid w:val="00FB6736"/>
    <w:rsid w:val="00FD79CA"/>
    <w:rsid w:val="00FF4F28"/>
    <w:rsid w:val="00FF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695A8"/>
  <w15:chartTrackingRefBased/>
  <w15:docId w15:val="{1336C9FC-E960-46F9-A20E-72770CF4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4C"/>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4B701C"/>
    <w:pPr>
      <w:keepNext/>
      <w:keepLines/>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semiHidden/>
    <w:unhideWhenUsed/>
    <w:qFormat/>
    <w:rsid w:val="004B701C"/>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01C"/>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semiHidden/>
    <w:rsid w:val="004B701C"/>
    <w:rPr>
      <w:rFonts w:ascii="Times New Roman" w:eastAsiaTheme="majorEastAsia" w:hAnsi="Times New Roman" w:cstheme="majorBidi"/>
      <w:b/>
      <w:sz w:val="28"/>
      <w:szCs w:val="26"/>
    </w:rPr>
  </w:style>
  <w:style w:type="paragraph" w:styleId="ListParagraph">
    <w:name w:val="List Paragraph"/>
    <w:basedOn w:val="Normal"/>
    <w:uiPriority w:val="34"/>
    <w:qFormat/>
    <w:rsid w:val="00BE644C"/>
    <w:pPr>
      <w:ind w:left="720"/>
    </w:pPr>
  </w:style>
  <w:style w:type="paragraph" w:styleId="FootnoteText">
    <w:name w:val="footnote text"/>
    <w:basedOn w:val="Normal"/>
    <w:link w:val="FootnoteTextChar"/>
    <w:uiPriority w:val="99"/>
    <w:unhideWhenUsed/>
    <w:rsid w:val="00BE644C"/>
    <w:rPr>
      <w:sz w:val="20"/>
      <w:szCs w:val="20"/>
    </w:rPr>
  </w:style>
  <w:style w:type="character" w:customStyle="1" w:styleId="FootnoteTextChar">
    <w:name w:val="Footnote Text Char"/>
    <w:basedOn w:val="DefaultParagraphFont"/>
    <w:link w:val="FootnoteText"/>
    <w:uiPriority w:val="99"/>
    <w:rsid w:val="00BE644C"/>
    <w:rPr>
      <w:rFonts w:ascii="Times New Roman" w:hAnsi="Times New Roman"/>
      <w:sz w:val="20"/>
      <w:szCs w:val="20"/>
    </w:rPr>
  </w:style>
  <w:style w:type="character" w:styleId="FootnoteReference">
    <w:name w:val="footnote reference"/>
    <w:basedOn w:val="DefaultParagraphFont"/>
    <w:uiPriority w:val="99"/>
    <w:unhideWhenUsed/>
    <w:rsid w:val="00BE644C"/>
    <w:rPr>
      <w:vertAlign w:val="superscript"/>
    </w:rPr>
  </w:style>
  <w:style w:type="character" w:customStyle="1" w:styleId="cohighlightpoints">
    <w:name w:val="co_highlightpoints"/>
    <w:basedOn w:val="DefaultParagraphFont"/>
    <w:rsid w:val="00BE644C"/>
  </w:style>
  <w:style w:type="paragraph" w:styleId="Header">
    <w:name w:val="header"/>
    <w:basedOn w:val="Normal"/>
    <w:link w:val="HeaderChar"/>
    <w:uiPriority w:val="99"/>
    <w:unhideWhenUsed/>
    <w:rsid w:val="00BE644C"/>
    <w:pPr>
      <w:tabs>
        <w:tab w:val="center" w:pos="4680"/>
        <w:tab w:val="right" w:pos="9360"/>
      </w:tabs>
    </w:pPr>
  </w:style>
  <w:style w:type="character" w:customStyle="1" w:styleId="HeaderChar">
    <w:name w:val="Header Char"/>
    <w:basedOn w:val="DefaultParagraphFont"/>
    <w:link w:val="Header"/>
    <w:uiPriority w:val="99"/>
    <w:rsid w:val="00BE644C"/>
    <w:rPr>
      <w:rFonts w:ascii="Times New Roman" w:hAnsi="Times New Roman"/>
      <w:sz w:val="24"/>
    </w:rPr>
  </w:style>
  <w:style w:type="paragraph" w:styleId="Footer">
    <w:name w:val="footer"/>
    <w:basedOn w:val="Normal"/>
    <w:link w:val="FooterChar"/>
    <w:uiPriority w:val="99"/>
    <w:unhideWhenUsed/>
    <w:rsid w:val="00BE644C"/>
    <w:pPr>
      <w:tabs>
        <w:tab w:val="center" w:pos="4680"/>
        <w:tab w:val="right" w:pos="9360"/>
      </w:tabs>
    </w:pPr>
  </w:style>
  <w:style w:type="character" w:customStyle="1" w:styleId="FooterChar">
    <w:name w:val="Footer Char"/>
    <w:basedOn w:val="DefaultParagraphFont"/>
    <w:link w:val="Footer"/>
    <w:uiPriority w:val="99"/>
    <w:rsid w:val="00BE644C"/>
    <w:rPr>
      <w:rFonts w:ascii="Times New Roman" w:hAnsi="Times New Roman"/>
      <w:sz w:val="24"/>
    </w:rPr>
  </w:style>
  <w:style w:type="character" w:styleId="Hyperlink">
    <w:name w:val="Hyperlink"/>
    <w:basedOn w:val="DefaultParagraphFont"/>
    <w:uiPriority w:val="99"/>
    <w:unhideWhenUsed/>
    <w:rsid w:val="00421FD9"/>
    <w:rPr>
      <w:color w:val="0563C1" w:themeColor="hyperlink"/>
      <w:u w:val="single"/>
    </w:rPr>
  </w:style>
  <w:style w:type="paragraph" w:styleId="BalloonText">
    <w:name w:val="Balloon Text"/>
    <w:basedOn w:val="Normal"/>
    <w:link w:val="BalloonTextChar"/>
    <w:uiPriority w:val="99"/>
    <w:semiHidden/>
    <w:unhideWhenUsed/>
    <w:rsid w:val="00E56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D3A"/>
    <w:rPr>
      <w:rFonts w:ascii="Segoe UI" w:hAnsi="Segoe UI" w:cs="Segoe UI"/>
      <w:sz w:val="18"/>
      <w:szCs w:val="18"/>
    </w:rPr>
  </w:style>
  <w:style w:type="character" w:styleId="CommentReference">
    <w:name w:val="annotation reference"/>
    <w:basedOn w:val="DefaultParagraphFont"/>
    <w:uiPriority w:val="99"/>
    <w:semiHidden/>
    <w:unhideWhenUsed/>
    <w:rsid w:val="00E56D3A"/>
    <w:rPr>
      <w:sz w:val="16"/>
      <w:szCs w:val="16"/>
    </w:rPr>
  </w:style>
  <w:style w:type="paragraph" w:styleId="CommentText">
    <w:name w:val="annotation text"/>
    <w:basedOn w:val="Normal"/>
    <w:link w:val="CommentTextChar"/>
    <w:uiPriority w:val="99"/>
    <w:semiHidden/>
    <w:unhideWhenUsed/>
    <w:rsid w:val="00E56D3A"/>
    <w:rPr>
      <w:sz w:val="20"/>
      <w:szCs w:val="20"/>
    </w:rPr>
  </w:style>
  <w:style w:type="character" w:customStyle="1" w:styleId="CommentTextChar">
    <w:name w:val="Comment Text Char"/>
    <w:basedOn w:val="DefaultParagraphFont"/>
    <w:link w:val="CommentText"/>
    <w:uiPriority w:val="99"/>
    <w:semiHidden/>
    <w:rsid w:val="00E56D3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D3A"/>
    <w:rPr>
      <w:b/>
      <w:bCs/>
    </w:rPr>
  </w:style>
  <w:style w:type="character" w:customStyle="1" w:styleId="CommentSubjectChar">
    <w:name w:val="Comment Subject Char"/>
    <w:basedOn w:val="CommentTextChar"/>
    <w:link w:val="CommentSubject"/>
    <w:uiPriority w:val="99"/>
    <w:semiHidden/>
    <w:rsid w:val="00E56D3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52881">
      <w:bodyDiv w:val="1"/>
      <w:marLeft w:val="0"/>
      <w:marRight w:val="0"/>
      <w:marTop w:val="0"/>
      <w:marBottom w:val="0"/>
      <w:divBdr>
        <w:top w:val="none" w:sz="0" w:space="0" w:color="auto"/>
        <w:left w:val="none" w:sz="0" w:space="0" w:color="auto"/>
        <w:bottom w:val="none" w:sz="0" w:space="0" w:color="auto"/>
        <w:right w:val="none" w:sz="0" w:space="0" w:color="auto"/>
      </w:divBdr>
    </w:div>
    <w:div w:id="14244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csc.org/~/media/Images/Topics/Fines%20Fees/BenchCard_FINAL_Feb2_2017.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98C1-B34A-41A3-983F-8C970EE8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41</cp:revision>
  <dcterms:created xsi:type="dcterms:W3CDTF">2018-06-25T16:26:00Z</dcterms:created>
  <dcterms:modified xsi:type="dcterms:W3CDTF">2020-09-16T14:35:00Z</dcterms:modified>
</cp:coreProperties>
</file>