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868FB" w14:textId="1AB84BC5" w:rsidR="00144746" w:rsidRPr="003352AA" w:rsidRDefault="00144746" w:rsidP="00144746">
      <w:pPr>
        <w:jc w:val="center"/>
        <w:outlineLvl w:val="0"/>
        <w:rPr>
          <w:b/>
          <w:bCs/>
          <w:sz w:val="24"/>
          <w:szCs w:val="24"/>
        </w:rPr>
      </w:pPr>
      <w:r w:rsidRPr="003352AA">
        <w:rPr>
          <w:sz w:val="24"/>
          <w:szCs w:val="24"/>
          <w:lang w:val="en-CA"/>
        </w:rPr>
        <w:fldChar w:fldCharType="begin"/>
      </w:r>
      <w:r w:rsidRPr="003352AA">
        <w:rPr>
          <w:sz w:val="24"/>
          <w:szCs w:val="24"/>
          <w:lang w:val="en-CA"/>
        </w:rPr>
        <w:instrText xml:space="preserve"> SEQ CHAPTER \h \r 1</w:instrText>
      </w:r>
      <w:r w:rsidRPr="003352AA">
        <w:rPr>
          <w:sz w:val="24"/>
          <w:szCs w:val="24"/>
          <w:lang w:val="en-CA"/>
        </w:rPr>
        <w:fldChar w:fldCharType="end"/>
      </w:r>
      <w:r w:rsidRPr="003352AA">
        <w:rPr>
          <w:b/>
          <w:bCs/>
          <w:sz w:val="24"/>
          <w:szCs w:val="24"/>
        </w:rPr>
        <w:t>IN THE COURT OF COMMON PLEAS PHILADELPHIA COUNTY</w:t>
      </w:r>
    </w:p>
    <w:p w14:paraId="14A031B0" w14:textId="77777777" w:rsidR="00144746" w:rsidRPr="003352AA" w:rsidRDefault="00144746" w:rsidP="00144746">
      <w:pPr>
        <w:jc w:val="center"/>
        <w:outlineLvl w:val="0"/>
        <w:rPr>
          <w:b/>
          <w:bCs/>
          <w:sz w:val="24"/>
          <w:szCs w:val="24"/>
        </w:rPr>
      </w:pPr>
      <w:r w:rsidRPr="003352AA">
        <w:rPr>
          <w:b/>
          <w:bCs/>
          <w:sz w:val="24"/>
          <w:szCs w:val="24"/>
        </w:rPr>
        <w:t>FIRST JUDICIAL DISTRICT OF PENNSYLVANIA</w:t>
      </w:r>
    </w:p>
    <w:p w14:paraId="609EF1DF" w14:textId="77777777" w:rsidR="00144746" w:rsidRPr="003352AA" w:rsidRDefault="00144746" w:rsidP="00144746">
      <w:pPr>
        <w:rPr>
          <w:b/>
          <w:bCs/>
          <w:sz w:val="24"/>
          <w:szCs w:val="24"/>
        </w:rPr>
      </w:pPr>
    </w:p>
    <w:p w14:paraId="4CB1D60C" w14:textId="77777777" w:rsidR="00144746" w:rsidRPr="003352AA" w:rsidRDefault="00144746" w:rsidP="00144746">
      <w:pPr>
        <w:jc w:val="center"/>
        <w:outlineLvl w:val="0"/>
        <w:rPr>
          <w:b/>
          <w:bCs/>
          <w:sz w:val="24"/>
          <w:szCs w:val="24"/>
          <w:u w:val="single"/>
        </w:rPr>
      </w:pPr>
      <w:r w:rsidRPr="003352AA">
        <w:rPr>
          <w:b/>
          <w:bCs/>
          <w:sz w:val="24"/>
          <w:szCs w:val="24"/>
          <w:u w:val="single"/>
        </w:rPr>
        <w:t>TRIAL DIVISION—CRIMINAL</w:t>
      </w:r>
    </w:p>
    <w:p w14:paraId="5D6D62A0" w14:textId="77777777" w:rsidR="00144746" w:rsidRPr="003352AA" w:rsidRDefault="00144746" w:rsidP="00144746">
      <w:pPr>
        <w:rPr>
          <w:b/>
          <w:bCs/>
          <w:sz w:val="24"/>
          <w:szCs w:val="24"/>
        </w:rPr>
      </w:pPr>
    </w:p>
    <w:p w14:paraId="486D6CEA" w14:textId="77777777" w:rsidR="00144746" w:rsidRPr="003352AA" w:rsidRDefault="00144746" w:rsidP="00144746">
      <w:pPr>
        <w:rPr>
          <w:b/>
          <w:bCs/>
          <w:sz w:val="24"/>
          <w:szCs w:val="24"/>
        </w:rPr>
      </w:pPr>
      <w:r w:rsidRPr="003352AA">
        <w:rPr>
          <w:b/>
          <w:bCs/>
          <w:sz w:val="24"/>
          <w:szCs w:val="24"/>
        </w:rPr>
        <w:t>COMMONWEALTH OF PENNSYLVANIA</w:t>
      </w:r>
      <w:r w:rsidRPr="003352AA">
        <w:rPr>
          <w:b/>
          <w:bCs/>
          <w:sz w:val="24"/>
          <w:szCs w:val="24"/>
        </w:rPr>
        <w:tab/>
        <w:t>:</w:t>
      </w:r>
    </w:p>
    <w:p w14:paraId="28F83037" w14:textId="77777777" w:rsidR="00144746" w:rsidRPr="003352AA" w:rsidRDefault="00144746" w:rsidP="00144746">
      <w:pPr>
        <w:rPr>
          <w:b/>
          <w:bCs/>
          <w:sz w:val="24"/>
          <w:szCs w:val="24"/>
        </w:rPr>
      </w:pP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t>:</w:t>
      </w:r>
      <w:r w:rsidRPr="003352AA">
        <w:rPr>
          <w:b/>
          <w:bCs/>
          <w:sz w:val="24"/>
          <w:szCs w:val="24"/>
        </w:rPr>
        <w:tab/>
      </w:r>
    </w:p>
    <w:p w14:paraId="545E7456" w14:textId="77777777" w:rsidR="00144746" w:rsidRPr="003352AA" w:rsidRDefault="00144746" w:rsidP="00144746">
      <w:pPr>
        <w:rPr>
          <w:b/>
          <w:bCs/>
          <w:sz w:val="24"/>
          <w:szCs w:val="24"/>
        </w:rPr>
      </w:pP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t>:</w:t>
      </w:r>
    </w:p>
    <w:p w14:paraId="46A1F696" w14:textId="77777777" w:rsidR="00144746" w:rsidRPr="003352AA" w:rsidRDefault="00144746" w:rsidP="00144746">
      <w:pPr>
        <w:rPr>
          <w:b/>
          <w:bCs/>
          <w:sz w:val="24"/>
          <w:szCs w:val="24"/>
        </w:rPr>
      </w:pPr>
      <w:r w:rsidRPr="003352AA">
        <w:rPr>
          <w:b/>
          <w:bCs/>
          <w:sz w:val="24"/>
          <w:szCs w:val="24"/>
        </w:rPr>
        <w:tab/>
        <w:t>v.</w:t>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t xml:space="preserve">: </w:t>
      </w:r>
      <w:r w:rsidRPr="003352AA">
        <w:rPr>
          <w:b/>
          <w:bCs/>
          <w:sz w:val="24"/>
          <w:szCs w:val="24"/>
        </w:rPr>
        <w:tab/>
        <w:t xml:space="preserve">No. </w:t>
      </w:r>
      <w:r w:rsidRPr="003352AA">
        <w:rPr>
          <w:b/>
          <w:bCs/>
          <w:sz w:val="24"/>
          <w:szCs w:val="24"/>
        </w:rPr>
        <w:tab/>
        <w:t>CP-51-CR-</w:t>
      </w:r>
    </w:p>
    <w:p w14:paraId="4E7DAF2F" w14:textId="77777777" w:rsidR="00144746" w:rsidRPr="003352AA" w:rsidRDefault="00144746" w:rsidP="00144746">
      <w:pPr>
        <w:rPr>
          <w:b/>
          <w:bCs/>
          <w:sz w:val="24"/>
          <w:szCs w:val="24"/>
        </w:rPr>
      </w:pP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t>:</w:t>
      </w:r>
      <w:r w:rsidRPr="003352AA">
        <w:rPr>
          <w:b/>
          <w:bCs/>
          <w:sz w:val="24"/>
          <w:szCs w:val="24"/>
        </w:rPr>
        <w:tab/>
        <w:t xml:space="preserve">        </w:t>
      </w:r>
      <w:r w:rsidRPr="003352AA">
        <w:rPr>
          <w:b/>
          <w:bCs/>
          <w:sz w:val="24"/>
          <w:szCs w:val="24"/>
        </w:rPr>
        <w:tab/>
      </w:r>
    </w:p>
    <w:p w14:paraId="46B67DFB" w14:textId="77777777" w:rsidR="00144746" w:rsidRPr="003352AA" w:rsidRDefault="00144746" w:rsidP="00144746">
      <w:pPr>
        <w:rPr>
          <w:b/>
          <w:bCs/>
          <w:sz w:val="24"/>
          <w:szCs w:val="24"/>
        </w:rPr>
      </w:pP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t>:</w:t>
      </w:r>
      <w:r w:rsidRPr="003352AA">
        <w:rPr>
          <w:b/>
          <w:bCs/>
          <w:sz w:val="24"/>
          <w:szCs w:val="24"/>
        </w:rPr>
        <w:tab/>
        <w:t xml:space="preserve">        </w:t>
      </w:r>
      <w:r w:rsidRPr="003352AA">
        <w:rPr>
          <w:b/>
          <w:bCs/>
          <w:sz w:val="24"/>
          <w:szCs w:val="24"/>
        </w:rPr>
        <w:tab/>
      </w:r>
    </w:p>
    <w:p w14:paraId="620BF334" w14:textId="77777777" w:rsidR="00144746" w:rsidRPr="003352AA" w:rsidRDefault="00C87724" w:rsidP="00144746">
      <w:pPr>
        <w:tabs>
          <w:tab w:val="left" w:pos="720"/>
          <w:tab w:val="left" w:pos="1440"/>
          <w:tab w:val="left" w:pos="2160"/>
          <w:tab w:val="left" w:pos="2880"/>
          <w:tab w:val="left" w:pos="3600"/>
          <w:tab w:val="left" w:pos="4320"/>
          <w:tab w:val="left" w:pos="5040"/>
          <w:tab w:val="left" w:pos="6825"/>
        </w:tabs>
        <w:rPr>
          <w:b/>
          <w:bCs/>
          <w:sz w:val="24"/>
          <w:szCs w:val="24"/>
        </w:rPr>
      </w:pPr>
      <w:r w:rsidRPr="00C87724">
        <w:rPr>
          <w:b/>
          <w:bCs/>
          <w:color w:val="FF0000"/>
          <w:sz w:val="24"/>
          <w:szCs w:val="24"/>
        </w:rPr>
        <w:t>JOHN DOE</w:t>
      </w:r>
      <w:r>
        <w:rPr>
          <w:b/>
          <w:bCs/>
          <w:sz w:val="24"/>
          <w:szCs w:val="24"/>
        </w:rPr>
        <w:tab/>
      </w:r>
      <w:r>
        <w:rPr>
          <w:b/>
          <w:bCs/>
          <w:sz w:val="24"/>
          <w:szCs w:val="24"/>
        </w:rPr>
        <w:tab/>
      </w:r>
      <w:r w:rsidR="00144746" w:rsidRPr="003352AA">
        <w:rPr>
          <w:b/>
          <w:bCs/>
          <w:sz w:val="24"/>
          <w:szCs w:val="24"/>
        </w:rPr>
        <w:tab/>
      </w:r>
      <w:r w:rsidR="00A61B5D">
        <w:rPr>
          <w:b/>
          <w:bCs/>
          <w:sz w:val="24"/>
          <w:szCs w:val="24"/>
        </w:rPr>
        <w:tab/>
      </w:r>
      <w:r w:rsidR="00A61B5D">
        <w:rPr>
          <w:b/>
          <w:bCs/>
          <w:sz w:val="24"/>
          <w:szCs w:val="24"/>
        </w:rPr>
        <w:tab/>
      </w:r>
      <w:r w:rsidR="00A61B5D">
        <w:rPr>
          <w:b/>
          <w:bCs/>
          <w:sz w:val="24"/>
          <w:szCs w:val="24"/>
        </w:rPr>
        <w:tab/>
      </w:r>
      <w:r w:rsidR="00144746" w:rsidRPr="003352AA">
        <w:rPr>
          <w:b/>
          <w:bCs/>
          <w:sz w:val="24"/>
          <w:szCs w:val="24"/>
        </w:rPr>
        <w:t xml:space="preserve">:                   </w:t>
      </w:r>
    </w:p>
    <w:p w14:paraId="7F7DF6BE" w14:textId="77777777" w:rsidR="00144746" w:rsidRPr="003352AA" w:rsidRDefault="00144746" w:rsidP="00144746">
      <w:pPr>
        <w:tabs>
          <w:tab w:val="left" w:pos="720"/>
          <w:tab w:val="left" w:pos="1440"/>
          <w:tab w:val="left" w:pos="2160"/>
          <w:tab w:val="left" w:pos="2880"/>
          <w:tab w:val="left" w:pos="3600"/>
          <w:tab w:val="left" w:pos="4320"/>
          <w:tab w:val="left" w:pos="5040"/>
          <w:tab w:val="left" w:pos="6825"/>
        </w:tabs>
        <w:rPr>
          <w:b/>
          <w:bCs/>
          <w:sz w:val="24"/>
          <w:szCs w:val="24"/>
        </w:rPr>
      </w:pP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t>:</w:t>
      </w:r>
      <w:r w:rsidRPr="003352AA">
        <w:rPr>
          <w:b/>
          <w:bCs/>
          <w:sz w:val="24"/>
          <w:szCs w:val="24"/>
        </w:rPr>
        <w:tab/>
      </w:r>
    </w:p>
    <w:p w14:paraId="1E6FC399" w14:textId="77777777" w:rsidR="00144746" w:rsidRPr="003352AA" w:rsidRDefault="00144746" w:rsidP="00144746">
      <w:pPr>
        <w:tabs>
          <w:tab w:val="left" w:pos="6825"/>
        </w:tabs>
        <w:rPr>
          <w:b/>
          <w:bCs/>
          <w:sz w:val="24"/>
          <w:szCs w:val="24"/>
        </w:rPr>
      </w:pPr>
      <w:r w:rsidRPr="003352AA">
        <w:rPr>
          <w:b/>
          <w:bCs/>
          <w:sz w:val="24"/>
          <w:szCs w:val="24"/>
        </w:rPr>
        <w:t>__________________________________________:</w:t>
      </w:r>
      <w:r w:rsidRPr="003352AA">
        <w:rPr>
          <w:b/>
          <w:bCs/>
          <w:sz w:val="24"/>
          <w:szCs w:val="24"/>
        </w:rPr>
        <w:tab/>
      </w:r>
    </w:p>
    <w:p w14:paraId="40AF7FB3" w14:textId="77777777" w:rsidR="00144746" w:rsidRPr="003352AA" w:rsidRDefault="00144746" w:rsidP="00144746">
      <w:pPr>
        <w:tabs>
          <w:tab w:val="left" w:pos="6825"/>
        </w:tabs>
        <w:rPr>
          <w:sz w:val="24"/>
          <w:szCs w:val="24"/>
        </w:rPr>
      </w:pPr>
      <w:r w:rsidRPr="003352AA">
        <w:rPr>
          <w:sz w:val="24"/>
          <w:szCs w:val="24"/>
        </w:rPr>
        <w:tab/>
      </w:r>
    </w:p>
    <w:p w14:paraId="27C2DBEE" w14:textId="77777777" w:rsidR="00144746" w:rsidRPr="003352AA" w:rsidRDefault="00144746" w:rsidP="00144746">
      <w:pPr>
        <w:rPr>
          <w:sz w:val="24"/>
          <w:szCs w:val="24"/>
        </w:rPr>
      </w:pPr>
    </w:p>
    <w:p w14:paraId="58A6392E" w14:textId="3174B83D" w:rsidR="006D55C2" w:rsidRPr="007B3248" w:rsidRDefault="006D55C2" w:rsidP="006D55C2">
      <w:pPr>
        <w:jc w:val="center"/>
        <w:outlineLvl w:val="0"/>
        <w:rPr>
          <w:sz w:val="24"/>
          <w:szCs w:val="24"/>
        </w:rPr>
      </w:pPr>
      <w:commentRangeStart w:id="0"/>
      <w:r w:rsidRPr="007B3248">
        <w:rPr>
          <w:b/>
          <w:bCs/>
          <w:sz w:val="24"/>
          <w:szCs w:val="24"/>
          <w:u w:val="single"/>
        </w:rPr>
        <w:t xml:space="preserve">POST-SENTENCE </w:t>
      </w:r>
      <w:commentRangeEnd w:id="0"/>
      <w:r>
        <w:rPr>
          <w:rStyle w:val="CommentReference"/>
        </w:rPr>
        <w:commentReference w:id="0"/>
      </w:r>
      <w:r w:rsidRPr="007B3248">
        <w:rPr>
          <w:b/>
          <w:bCs/>
          <w:sz w:val="24"/>
          <w:szCs w:val="24"/>
          <w:u w:val="single"/>
        </w:rPr>
        <w:t xml:space="preserve">MOTION TO </w:t>
      </w:r>
      <w:r>
        <w:rPr>
          <w:b/>
          <w:bCs/>
          <w:color w:val="FF0000"/>
          <w:sz w:val="24"/>
          <w:szCs w:val="24"/>
          <w:u w:val="single"/>
        </w:rPr>
        <w:t>IMPOSE AFFORDABLE COSTS</w:t>
      </w:r>
      <w:commentRangeStart w:id="1"/>
      <w:r w:rsidRPr="00001097">
        <w:rPr>
          <w:b/>
          <w:bCs/>
          <w:color w:val="FF0000"/>
          <w:sz w:val="24"/>
          <w:szCs w:val="24"/>
          <w:u w:val="single"/>
        </w:rPr>
        <w:t xml:space="preserve"> </w:t>
      </w:r>
      <w:commentRangeEnd w:id="1"/>
      <w:r>
        <w:rPr>
          <w:rStyle w:val="CommentReference"/>
        </w:rPr>
        <w:commentReference w:id="1"/>
      </w:r>
    </w:p>
    <w:p w14:paraId="282B4094" w14:textId="77777777" w:rsidR="00144746" w:rsidRPr="003352AA" w:rsidRDefault="00144746" w:rsidP="00144746">
      <w:pPr>
        <w:rPr>
          <w:sz w:val="24"/>
          <w:szCs w:val="24"/>
        </w:rPr>
      </w:pPr>
    </w:p>
    <w:p w14:paraId="1E592BBC" w14:textId="483DE5DB" w:rsidR="00144746" w:rsidRDefault="00144746" w:rsidP="00144746">
      <w:pPr>
        <w:spacing w:line="480" w:lineRule="auto"/>
        <w:rPr>
          <w:sz w:val="24"/>
          <w:szCs w:val="24"/>
        </w:rPr>
      </w:pPr>
      <w:r w:rsidRPr="003352AA">
        <w:rPr>
          <w:sz w:val="24"/>
          <w:szCs w:val="24"/>
        </w:rPr>
        <w:tab/>
        <w:t xml:space="preserve">Defendant </w:t>
      </w:r>
      <w:r w:rsidR="00C87724" w:rsidRPr="00C87724">
        <w:rPr>
          <w:color w:val="FF0000"/>
          <w:sz w:val="24"/>
          <w:szCs w:val="24"/>
        </w:rPr>
        <w:t>John Doe</w:t>
      </w:r>
      <w:r w:rsidRPr="003352AA">
        <w:rPr>
          <w:sz w:val="24"/>
          <w:szCs w:val="24"/>
        </w:rPr>
        <w:t xml:space="preserve">, through counsel, hereby moves this Honorable Court to </w:t>
      </w:r>
      <w:r w:rsidR="00280243" w:rsidRPr="00001097">
        <w:rPr>
          <w:color w:val="FF0000"/>
          <w:sz w:val="24"/>
          <w:szCs w:val="24"/>
        </w:rPr>
        <w:t xml:space="preserve">impose </w:t>
      </w:r>
      <w:r w:rsidR="00280243">
        <w:rPr>
          <w:color w:val="FF0000"/>
          <w:sz w:val="24"/>
          <w:szCs w:val="24"/>
        </w:rPr>
        <w:t>an affordable amount of</w:t>
      </w:r>
      <w:r w:rsidR="00280243" w:rsidRPr="00001097">
        <w:rPr>
          <w:color w:val="FF0000"/>
          <w:sz w:val="24"/>
          <w:szCs w:val="24"/>
        </w:rPr>
        <w:t xml:space="preserve"> </w:t>
      </w:r>
      <w:r w:rsidR="005A3555">
        <w:rPr>
          <w:sz w:val="24"/>
          <w:szCs w:val="24"/>
        </w:rPr>
        <w:t>court costs</w:t>
      </w:r>
      <w:r w:rsidR="005A3555" w:rsidRPr="003352AA">
        <w:rPr>
          <w:sz w:val="24"/>
          <w:szCs w:val="24"/>
        </w:rPr>
        <w:t xml:space="preserve"> </w:t>
      </w:r>
      <w:r w:rsidR="0027759B">
        <w:rPr>
          <w:sz w:val="24"/>
          <w:szCs w:val="24"/>
        </w:rPr>
        <w:t>pursuant to</w:t>
      </w:r>
      <w:r w:rsidR="0027759B" w:rsidRPr="003352AA">
        <w:rPr>
          <w:sz w:val="24"/>
          <w:szCs w:val="24"/>
        </w:rPr>
        <w:t xml:space="preserve"> </w:t>
      </w:r>
      <w:r w:rsidR="00280243">
        <w:rPr>
          <w:sz w:val="24"/>
          <w:szCs w:val="24"/>
        </w:rPr>
        <w:t xml:space="preserve">42 </w:t>
      </w:r>
      <w:proofErr w:type="spellStart"/>
      <w:r w:rsidR="00280243">
        <w:rPr>
          <w:sz w:val="24"/>
          <w:szCs w:val="24"/>
        </w:rPr>
        <w:t>Pa.C.S</w:t>
      </w:r>
      <w:proofErr w:type="spellEnd"/>
      <w:r w:rsidR="00280243">
        <w:rPr>
          <w:sz w:val="24"/>
          <w:szCs w:val="24"/>
        </w:rPr>
        <w:t xml:space="preserve">. § 9721(c.1) and </w:t>
      </w:r>
      <w:proofErr w:type="spellStart"/>
      <w:r w:rsidR="0027759B" w:rsidRPr="003352AA">
        <w:rPr>
          <w:sz w:val="24"/>
          <w:szCs w:val="24"/>
        </w:rPr>
        <w:t>Pa.R.Crim.P</w:t>
      </w:r>
      <w:proofErr w:type="spellEnd"/>
      <w:r w:rsidR="0027759B" w:rsidRPr="003352AA">
        <w:rPr>
          <w:sz w:val="24"/>
          <w:szCs w:val="24"/>
        </w:rPr>
        <w:t>. 706(C)</w:t>
      </w:r>
      <w:r w:rsidR="00C16A53">
        <w:rPr>
          <w:sz w:val="24"/>
          <w:szCs w:val="24"/>
        </w:rPr>
        <w:t>,</w:t>
      </w:r>
      <w:r w:rsidR="005A3555">
        <w:rPr>
          <w:sz w:val="24"/>
          <w:szCs w:val="24"/>
        </w:rPr>
        <w:t xml:space="preserve"> </w:t>
      </w:r>
      <w:r w:rsidRPr="003352AA">
        <w:rPr>
          <w:sz w:val="24"/>
          <w:szCs w:val="24"/>
        </w:rPr>
        <w:t>and as grounds there</w:t>
      </w:r>
      <w:r w:rsidR="00C87724">
        <w:rPr>
          <w:sz w:val="24"/>
          <w:szCs w:val="24"/>
        </w:rPr>
        <w:t>of</w:t>
      </w:r>
      <w:r w:rsidRPr="003352AA">
        <w:rPr>
          <w:sz w:val="24"/>
          <w:szCs w:val="24"/>
        </w:rPr>
        <w:t xml:space="preserve"> avers as follows:</w:t>
      </w:r>
    </w:p>
    <w:p w14:paraId="5DEF8717" w14:textId="77777777" w:rsidR="000D4747" w:rsidRPr="000D4747" w:rsidRDefault="000D4747" w:rsidP="005419B6">
      <w:pPr>
        <w:pStyle w:val="ListParagraph"/>
        <w:numPr>
          <w:ilvl w:val="0"/>
          <w:numId w:val="4"/>
        </w:numPr>
        <w:spacing w:line="480" w:lineRule="auto"/>
        <w:rPr>
          <w:b/>
          <w:sz w:val="24"/>
          <w:szCs w:val="24"/>
        </w:rPr>
      </w:pPr>
      <w:r>
        <w:rPr>
          <w:b/>
          <w:sz w:val="24"/>
          <w:szCs w:val="24"/>
        </w:rPr>
        <w:t>Background</w:t>
      </w:r>
    </w:p>
    <w:p w14:paraId="491E553F" w14:textId="77777777" w:rsidR="00C80A79" w:rsidRPr="00C87724" w:rsidRDefault="003352AA" w:rsidP="003352AA">
      <w:pPr>
        <w:pStyle w:val="ListParagraph"/>
        <w:numPr>
          <w:ilvl w:val="0"/>
          <w:numId w:val="2"/>
        </w:numPr>
        <w:spacing w:line="480" w:lineRule="auto"/>
        <w:rPr>
          <w:color w:val="FF0000"/>
          <w:sz w:val="24"/>
          <w:szCs w:val="24"/>
        </w:rPr>
      </w:pPr>
      <w:r w:rsidRPr="00C87724">
        <w:rPr>
          <w:color w:val="FF0000"/>
          <w:sz w:val="24"/>
          <w:szCs w:val="24"/>
        </w:rPr>
        <w:t>[Background on case and details of sentence]</w:t>
      </w:r>
    </w:p>
    <w:p w14:paraId="2BB92E33" w14:textId="77777777" w:rsidR="00C87724" w:rsidRPr="00C87724" w:rsidRDefault="00C87724" w:rsidP="003352AA">
      <w:pPr>
        <w:pStyle w:val="ListParagraph"/>
        <w:numPr>
          <w:ilvl w:val="0"/>
          <w:numId w:val="2"/>
        </w:numPr>
        <w:spacing w:line="480" w:lineRule="auto"/>
        <w:rPr>
          <w:color w:val="FF0000"/>
          <w:sz w:val="24"/>
          <w:szCs w:val="24"/>
        </w:rPr>
      </w:pPr>
      <w:r w:rsidRPr="00C87724">
        <w:rPr>
          <w:color w:val="FF0000"/>
          <w:sz w:val="24"/>
          <w:szCs w:val="24"/>
        </w:rPr>
        <w:t>[Background on defendant’s financial situation]</w:t>
      </w:r>
    </w:p>
    <w:p w14:paraId="7A2E2BF9" w14:textId="24F14AE4" w:rsidR="000D4747" w:rsidRPr="00610056" w:rsidRDefault="008336FD" w:rsidP="005419B6">
      <w:pPr>
        <w:pStyle w:val="FootnoteText"/>
        <w:numPr>
          <w:ilvl w:val="0"/>
          <w:numId w:val="4"/>
        </w:numPr>
        <w:rPr>
          <w:b/>
          <w:sz w:val="24"/>
          <w:szCs w:val="24"/>
        </w:rPr>
      </w:pPr>
      <w:r>
        <w:rPr>
          <w:b/>
          <w:sz w:val="24"/>
          <w:szCs w:val="24"/>
        </w:rPr>
        <w:t>This C</w:t>
      </w:r>
      <w:r w:rsidR="005A3555">
        <w:rPr>
          <w:b/>
          <w:sz w:val="24"/>
          <w:szCs w:val="24"/>
        </w:rPr>
        <w:t>ourt</w:t>
      </w:r>
      <w:r>
        <w:rPr>
          <w:b/>
          <w:sz w:val="24"/>
          <w:szCs w:val="24"/>
        </w:rPr>
        <w:t xml:space="preserve"> should impose only affordable</w:t>
      </w:r>
      <w:r w:rsidR="005A3555">
        <w:rPr>
          <w:b/>
          <w:sz w:val="24"/>
          <w:szCs w:val="24"/>
        </w:rPr>
        <w:t xml:space="preserve"> costs based on </w:t>
      </w:r>
      <w:r>
        <w:rPr>
          <w:b/>
          <w:sz w:val="24"/>
          <w:szCs w:val="24"/>
        </w:rPr>
        <w:t xml:space="preserve">Mr. </w:t>
      </w:r>
      <w:r w:rsidRPr="008336FD">
        <w:rPr>
          <w:b/>
          <w:color w:val="FF0000"/>
          <w:sz w:val="24"/>
          <w:szCs w:val="24"/>
        </w:rPr>
        <w:t>Doe</w:t>
      </w:r>
      <w:r>
        <w:rPr>
          <w:b/>
          <w:sz w:val="24"/>
          <w:szCs w:val="24"/>
        </w:rPr>
        <w:t>’s</w:t>
      </w:r>
      <w:r w:rsidR="005A3555">
        <w:rPr>
          <w:b/>
          <w:sz w:val="24"/>
          <w:szCs w:val="24"/>
        </w:rPr>
        <w:t xml:space="preserve"> inability to pay</w:t>
      </w:r>
      <w:r w:rsidR="000D4747" w:rsidRPr="00610056">
        <w:rPr>
          <w:b/>
          <w:sz w:val="24"/>
          <w:szCs w:val="24"/>
        </w:rPr>
        <w:t>.</w:t>
      </w:r>
    </w:p>
    <w:p w14:paraId="60F01B51" w14:textId="77777777" w:rsidR="001F2FAC" w:rsidRPr="000D4747" w:rsidRDefault="001F2FAC" w:rsidP="001F2FAC">
      <w:pPr>
        <w:pStyle w:val="FootnoteText"/>
        <w:ind w:left="1080"/>
        <w:rPr>
          <w:b/>
          <w:sz w:val="24"/>
          <w:szCs w:val="24"/>
        </w:rPr>
      </w:pPr>
    </w:p>
    <w:p w14:paraId="46B8859F" w14:textId="239C87CF" w:rsidR="00AC1EEB" w:rsidRDefault="00257A74" w:rsidP="00AC1EEB">
      <w:pPr>
        <w:pStyle w:val="FootnoteText"/>
        <w:numPr>
          <w:ilvl w:val="0"/>
          <w:numId w:val="2"/>
        </w:numPr>
        <w:spacing w:line="480" w:lineRule="auto"/>
        <w:rPr>
          <w:sz w:val="24"/>
          <w:szCs w:val="24"/>
        </w:rPr>
      </w:pPr>
      <w:r>
        <w:rPr>
          <w:sz w:val="24"/>
          <w:szCs w:val="24"/>
        </w:rPr>
        <w:t>Pennsylvania</w:t>
      </w:r>
      <w:r w:rsidR="00DD03B3">
        <w:rPr>
          <w:sz w:val="24"/>
          <w:szCs w:val="24"/>
        </w:rPr>
        <w:t>’s</w:t>
      </w:r>
      <w:r w:rsidR="00A15AF2">
        <w:rPr>
          <w:sz w:val="24"/>
          <w:szCs w:val="24"/>
        </w:rPr>
        <w:t xml:space="preserve"> statutes and the</w:t>
      </w:r>
      <w:r>
        <w:rPr>
          <w:sz w:val="24"/>
          <w:szCs w:val="24"/>
        </w:rPr>
        <w:t xml:space="preserve"> Rules of Criminal Procedure </w:t>
      </w:r>
      <w:r w:rsidR="003929CE">
        <w:rPr>
          <w:sz w:val="24"/>
          <w:szCs w:val="24"/>
        </w:rPr>
        <w:t>allow</w:t>
      </w:r>
      <w:r>
        <w:rPr>
          <w:sz w:val="24"/>
          <w:szCs w:val="24"/>
        </w:rPr>
        <w:t xml:space="preserve"> this Court consider </w:t>
      </w:r>
      <w:r w:rsidR="002F2438">
        <w:rPr>
          <w:sz w:val="24"/>
          <w:szCs w:val="24"/>
        </w:rPr>
        <w:t>Mr.</w:t>
      </w:r>
      <w:r w:rsidR="002F2438" w:rsidRPr="003352AA">
        <w:rPr>
          <w:sz w:val="24"/>
          <w:szCs w:val="24"/>
        </w:rPr>
        <w:t xml:space="preserve"> </w:t>
      </w:r>
      <w:r w:rsidRPr="00257A74">
        <w:rPr>
          <w:color w:val="FF0000"/>
          <w:sz w:val="24"/>
          <w:szCs w:val="24"/>
        </w:rPr>
        <w:t>Doe’</w:t>
      </w:r>
      <w:r>
        <w:rPr>
          <w:color w:val="FF0000"/>
          <w:sz w:val="24"/>
          <w:szCs w:val="24"/>
        </w:rPr>
        <w:t>s</w:t>
      </w:r>
      <w:r>
        <w:rPr>
          <w:sz w:val="24"/>
          <w:szCs w:val="24"/>
        </w:rPr>
        <w:t xml:space="preserve"> ability to pay and </w:t>
      </w:r>
      <w:r w:rsidR="00BE6D9C">
        <w:rPr>
          <w:sz w:val="24"/>
          <w:szCs w:val="24"/>
        </w:rPr>
        <w:t xml:space="preserve">impose only an affordable amount of costs based on his financial </w:t>
      </w:r>
      <w:r w:rsidR="00BE6D9C" w:rsidRPr="00AC1EEB">
        <w:rPr>
          <w:sz w:val="24"/>
          <w:szCs w:val="24"/>
        </w:rPr>
        <w:t>circumstances and</w:t>
      </w:r>
      <w:r w:rsidRPr="00AC1EEB">
        <w:rPr>
          <w:sz w:val="24"/>
          <w:szCs w:val="24"/>
        </w:rPr>
        <w:t xml:space="preserve"> the burden the costs would impose on him.</w:t>
      </w:r>
      <w:r w:rsidR="00FA2F24" w:rsidRPr="00AC1EEB">
        <w:rPr>
          <w:sz w:val="24"/>
          <w:szCs w:val="24"/>
        </w:rPr>
        <w:t xml:space="preserve"> </w:t>
      </w:r>
      <w:r w:rsidR="00FA2F24" w:rsidRPr="00AC1EEB">
        <w:rPr>
          <w:i/>
          <w:sz w:val="24"/>
          <w:szCs w:val="24"/>
        </w:rPr>
        <w:t>See</w:t>
      </w:r>
      <w:r w:rsidR="00AC1EEB" w:rsidRPr="00AC1EEB">
        <w:rPr>
          <w:i/>
          <w:sz w:val="24"/>
          <w:szCs w:val="24"/>
        </w:rPr>
        <w:t xml:space="preserve"> Commonwealth v. Lopez</w:t>
      </w:r>
      <w:r w:rsidR="00AC1EEB" w:rsidRPr="00AC1EEB">
        <w:rPr>
          <w:sz w:val="24"/>
          <w:szCs w:val="24"/>
        </w:rPr>
        <w:t>, --A.3d--, 2021 PA Super 51, 2021 WL 1096376 at *5</w:t>
      </w:r>
      <w:r w:rsidR="00AC1EEB">
        <w:rPr>
          <w:sz w:val="24"/>
          <w:szCs w:val="24"/>
        </w:rPr>
        <w:t xml:space="preserve"> (Pa. Super. Ct. March 23, 2021) (</w:t>
      </w:r>
      <w:proofErr w:type="spellStart"/>
      <w:r w:rsidR="00AC1EEB">
        <w:rPr>
          <w:sz w:val="24"/>
          <w:szCs w:val="24"/>
        </w:rPr>
        <w:t>en</w:t>
      </w:r>
      <w:proofErr w:type="spellEnd"/>
      <w:r w:rsidR="00AC1EEB">
        <w:rPr>
          <w:sz w:val="24"/>
          <w:szCs w:val="24"/>
        </w:rPr>
        <w:t xml:space="preserve"> banc)</w:t>
      </w:r>
      <w:r w:rsidR="00AC1EEB" w:rsidRPr="00AC1EEB">
        <w:rPr>
          <w:sz w:val="24"/>
          <w:szCs w:val="24"/>
        </w:rPr>
        <w:t xml:space="preserve"> (trial court has “discretion to conduct such a hearing at sentencing” to reduce or waive costs based on </w:t>
      </w:r>
      <w:r w:rsidR="00BE4C24">
        <w:rPr>
          <w:sz w:val="24"/>
          <w:szCs w:val="24"/>
        </w:rPr>
        <w:t>the defendant’s finances</w:t>
      </w:r>
      <w:r w:rsidR="00AC1EEB" w:rsidRPr="00AC1EEB">
        <w:rPr>
          <w:sz w:val="24"/>
          <w:szCs w:val="24"/>
        </w:rPr>
        <w:t>);</w:t>
      </w:r>
      <w:r w:rsidR="00227022" w:rsidRPr="00AC1EEB">
        <w:rPr>
          <w:i/>
          <w:sz w:val="24"/>
          <w:szCs w:val="24"/>
        </w:rPr>
        <w:t xml:space="preserve"> </w:t>
      </w:r>
      <w:r w:rsidR="00AC1EEB" w:rsidRPr="00AC1EEB">
        <w:rPr>
          <w:i/>
          <w:sz w:val="24"/>
          <w:szCs w:val="24"/>
        </w:rPr>
        <w:lastRenderedPageBreak/>
        <w:t xml:space="preserve">Commonwealth v. </w:t>
      </w:r>
      <w:proofErr w:type="spellStart"/>
      <w:r w:rsidR="00AC1EEB" w:rsidRPr="00AC1EEB">
        <w:rPr>
          <w:i/>
          <w:sz w:val="24"/>
          <w:szCs w:val="24"/>
        </w:rPr>
        <w:t>Mulkin</w:t>
      </w:r>
      <w:proofErr w:type="spellEnd"/>
      <w:r w:rsidR="00AC1EEB" w:rsidRPr="00AC1EEB">
        <w:rPr>
          <w:sz w:val="24"/>
          <w:szCs w:val="24"/>
        </w:rPr>
        <w:t>, 228 A.3d 913, 919 (Pa. Super. Ct. 2020) (“The trial court may also provide that a defendant shall not be liable for costs under Rule 706.”).</w:t>
      </w:r>
    </w:p>
    <w:p w14:paraId="626162EF" w14:textId="50628AFF" w:rsidR="00A15AF2" w:rsidRPr="00A15AF2" w:rsidRDefault="00A15AF2" w:rsidP="00A15AF2">
      <w:pPr>
        <w:pStyle w:val="FootnoteText"/>
        <w:numPr>
          <w:ilvl w:val="0"/>
          <w:numId w:val="2"/>
        </w:numPr>
        <w:spacing w:line="480" w:lineRule="auto"/>
        <w:rPr>
          <w:sz w:val="24"/>
          <w:szCs w:val="24"/>
        </w:rPr>
      </w:pPr>
      <w:r>
        <w:rPr>
          <w:sz w:val="24"/>
          <w:szCs w:val="24"/>
        </w:rPr>
        <w:t xml:space="preserve">The legislature has explicitly mandated that costs should be imposed only if the defendant is financially able to pay. </w:t>
      </w:r>
      <w:r>
        <w:rPr>
          <w:i/>
          <w:sz w:val="24"/>
          <w:szCs w:val="24"/>
        </w:rPr>
        <w:t>See</w:t>
      </w:r>
      <w:r w:rsidR="0012479F">
        <w:rPr>
          <w:sz w:val="24"/>
          <w:szCs w:val="24"/>
        </w:rPr>
        <w:t xml:space="preserve"> 42 </w:t>
      </w:r>
      <w:proofErr w:type="spellStart"/>
      <w:r w:rsidR="0012479F">
        <w:rPr>
          <w:sz w:val="24"/>
          <w:szCs w:val="24"/>
        </w:rPr>
        <w:t>Pa.C.S</w:t>
      </w:r>
      <w:proofErr w:type="spellEnd"/>
      <w:r w:rsidR="0012479F">
        <w:rPr>
          <w:sz w:val="24"/>
          <w:szCs w:val="24"/>
        </w:rPr>
        <w:t xml:space="preserve">. </w:t>
      </w:r>
      <w:r>
        <w:rPr>
          <w:sz w:val="24"/>
          <w:szCs w:val="24"/>
        </w:rPr>
        <w:t xml:space="preserve">§§ </w:t>
      </w:r>
      <w:r w:rsidRPr="003E35C1">
        <w:rPr>
          <w:sz w:val="24"/>
          <w:szCs w:val="24"/>
        </w:rPr>
        <w:t>9721(c.1)</w:t>
      </w:r>
      <w:r>
        <w:rPr>
          <w:sz w:val="24"/>
          <w:szCs w:val="24"/>
        </w:rPr>
        <w:t xml:space="preserve"> and </w:t>
      </w:r>
      <w:r w:rsidRPr="003E35C1">
        <w:rPr>
          <w:sz w:val="24"/>
          <w:szCs w:val="24"/>
        </w:rPr>
        <w:t>§ 9728(b.2)</w:t>
      </w:r>
      <w:r>
        <w:rPr>
          <w:sz w:val="24"/>
          <w:szCs w:val="24"/>
        </w:rPr>
        <w:t xml:space="preserve"> (costs are imposed automatically “</w:t>
      </w:r>
      <w:r w:rsidRPr="003E35C1">
        <w:rPr>
          <w:sz w:val="24"/>
          <w:szCs w:val="24"/>
        </w:rPr>
        <w:t xml:space="preserve">unless the court determines otherwise pursuant to </w:t>
      </w:r>
      <w:proofErr w:type="spellStart"/>
      <w:r w:rsidRPr="003E35C1">
        <w:rPr>
          <w:sz w:val="24"/>
          <w:szCs w:val="24"/>
        </w:rPr>
        <w:t>Pa.R.Crim.P</w:t>
      </w:r>
      <w:proofErr w:type="spellEnd"/>
      <w:r w:rsidRPr="003E35C1">
        <w:rPr>
          <w:sz w:val="24"/>
          <w:szCs w:val="24"/>
        </w:rPr>
        <w:t>. No. 706(C) (relating to fines or costs)</w:t>
      </w:r>
      <w:r w:rsidR="00950307">
        <w:rPr>
          <w:sz w:val="24"/>
          <w:szCs w:val="24"/>
        </w:rPr>
        <w:t>”</w:t>
      </w:r>
      <w:r>
        <w:rPr>
          <w:sz w:val="24"/>
          <w:szCs w:val="24"/>
        </w:rPr>
        <w:t xml:space="preserve">). </w:t>
      </w:r>
      <w:r w:rsidRPr="00A15AF2">
        <w:rPr>
          <w:sz w:val="24"/>
          <w:szCs w:val="24"/>
        </w:rPr>
        <w:t xml:space="preserve">As the legislative history explains, </w:t>
      </w:r>
      <w:r w:rsidR="00950307">
        <w:rPr>
          <w:sz w:val="24"/>
          <w:szCs w:val="24"/>
        </w:rPr>
        <w:t>those statutes were</w:t>
      </w:r>
      <w:r w:rsidRPr="00A15AF2">
        <w:rPr>
          <w:sz w:val="24"/>
          <w:szCs w:val="24"/>
        </w:rPr>
        <w:t xml:space="preserve"> intended to allow the “sentencing court” to “retain all discretion to modify or even waive costs in an appropriate case.” Pennsylvania House of Representatives Judiciary Committee, SB 1169 Bill Analysis (Sept. 15, 2010) PN 2181. In other words, the statute reflected the legislature’s understanding that trial courts already had the discretion under Rule 706(C) to reduce or waive costs at sentencing.</w:t>
      </w:r>
    </w:p>
    <w:p w14:paraId="6165FAD0" w14:textId="187E4D88" w:rsidR="001A66CC" w:rsidRDefault="00A954D4" w:rsidP="003352AA">
      <w:pPr>
        <w:pStyle w:val="FootnoteText"/>
        <w:numPr>
          <w:ilvl w:val="0"/>
          <w:numId w:val="2"/>
        </w:numPr>
        <w:spacing w:line="480" w:lineRule="auto"/>
        <w:rPr>
          <w:sz w:val="24"/>
          <w:szCs w:val="24"/>
        </w:rPr>
      </w:pPr>
      <w:r>
        <w:rPr>
          <w:sz w:val="24"/>
          <w:szCs w:val="24"/>
        </w:rPr>
        <w:t>Rule 706</w:t>
      </w:r>
      <w:r w:rsidR="00A15AF2">
        <w:rPr>
          <w:sz w:val="24"/>
          <w:szCs w:val="24"/>
        </w:rPr>
        <w:t>(C)</w:t>
      </w:r>
      <w:r w:rsidR="003352AA" w:rsidRPr="003352AA">
        <w:rPr>
          <w:sz w:val="24"/>
          <w:szCs w:val="24"/>
        </w:rPr>
        <w:t xml:space="preserve"> provides that</w:t>
      </w:r>
      <w:r w:rsidR="00E97522">
        <w:rPr>
          <w:sz w:val="24"/>
          <w:szCs w:val="24"/>
        </w:rPr>
        <w:t xml:space="preserve"> the Court</w:t>
      </w:r>
      <w:r w:rsidR="003352AA" w:rsidRPr="003352AA">
        <w:rPr>
          <w:sz w:val="24"/>
          <w:szCs w:val="24"/>
        </w:rPr>
        <w:t xml:space="preserve">, “in determining the amount and method of payment of a fine or costs </w:t>
      </w:r>
      <w:r w:rsidR="003352AA" w:rsidRPr="001A66CC">
        <w:rPr>
          <w:i/>
          <w:sz w:val="24"/>
          <w:szCs w:val="24"/>
        </w:rPr>
        <w:t>shall</w:t>
      </w:r>
      <w:r w:rsidR="003352AA" w:rsidRPr="003352AA">
        <w:rPr>
          <w:sz w:val="24"/>
          <w:szCs w:val="24"/>
        </w:rPr>
        <w:t>, insofar as is just and practicable, consider the burden upon the defendant by reason of the defendant’s financial means.”</w:t>
      </w:r>
      <w:r>
        <w:rPr>
          <w:sz w:val="24"/>
          <w:szCs w:val="24"/>
        </w:rPr>
        <w:t xml:space="preserve"> </w:t>
      </w:r>
      <w:proofErr w:type="spellStart"/>
      <w:r>
        <w:rPr>
          <w:sz w:val="24"/>
          <w:szCs w:val="24"/>
        </w:rPr>
        <w:t>Pa.R.Crim.P</w:t>
      </w:r>
      <w:proofErr w:type="spellEnd"/>
      <w:r>
        <w:rPr>
          <w:sz w:val="24"/>
          <w:szCs w:val="24"/>
        </w:rPr>
        <w:t>. 706(C)</w:t>
      </w:r>
      <w:r w:rsidR="00A024FF">
        <w:rPr>
          <w:sz w:val="24"/>
          <w:szCs w:val="24"/>
        </w:rPr>
        <w:t xml:space="preserve"> (emphasis added)</w:t>
      </w:r>
      <w:r>
        <w:rPr>
          <w:sz w:val="24"/>
          <w:szCs w:val="24"/>
        </w:rPr>
        <w:t>.</w:t>
      </w:r>
      <w:r w:rsidR="003352AA" w:rsidRPr="003352AA">
        <w:rPr>
          <w:sz w:val="24"/>
          <w:szCs w:val="24"/>
        </w:rPr>
        <w:t xml:space="preserve"> </w:t>
      </w:r>
      <w:r w:rsidR="001A66CC">
        <w:rPr>
          <w:sz w:val="24"/>
          <w:szCs w:val="24"/>
        </w:rPr>
        <w:t>As the</w:t>
      </w:r>
      <w:r w:rsidR="00FB4702">
        <w:rPr>
          <w:sz w:val="24"/>
          <w:szCs w:val="24"/>
        </w:rPr>
        <w:t xml:space="preserve"> Superior Court explained in</w:t>
      </w:r>
      <w:r w:rsidR="001A66CC">
        <w:rPr>
          <w:sz w:val="24"/>
          <w:szCs w:val="24"/>
        </w:rPr>
        <w:t xml:space="preserve"> </w:t>
      </w:r>
      <w:r w:rsidR="001A66CC">
        <w:rPr>
          <w:i/>
          <w:sz w:val="24"/>
          <w:szCs w:val="24"/>
        </w:rPr>
        <w:t>Lopez</w:t>
      </w:r>
      <w:r w:rsidR="001A66CC">
        <w:rPr>
          <w:sz w:val="24"/>
          <w:szCs w:val="24"/>
        </w:rPr>
        <w:t xml:space="preserve"> and </w:t>
      </w:r>
      <w:proofErr w:type="spellStart"/>
      <w:r w:rsidR="001A66CC">
        <w:rPr>
          <w:i/>
          <w:sz w:val="24"/>
          <w:szCs w:val="24"/>
        </w:rPr>
        <w:t>Mulkin</w:t>
      </w:r>
      <w:bookmarkStart w:id="2" w:name="_GoBack"/>
      <w:bookmarkEnd w:id="2"/>
      <w:proofErr w:type="spellEnd"/>
      <w:r w:rsidR="001A66CC">
        <w:rPr>
          <w:sz w:val="24"/>
          <w:szCs w:val="24"/>
        </w:rPr>
        <w:t>, this gives courts the authority to reduce or waive costs at sentencing if the defendant is unable to afford to pay them.</w:t>
      </w:r>
    </w:p>
    <w:p w14:paraId="668E8ED7" w14:textId="6ADCB2E3" w:rsidR="005419B6" w:rsidRPr="00A024FF" w:rsidRDefault="005419B6" w:rsidP="005419B6">
      <w:pPr>
        <w:pStyle w:val="FootnoteText"/>
        <w:numPr>
          <w:ilvl w:val="0"/>
          <w:numId w:val="2"/>
        </w:numPr>
        <w:spacing w:line="480" w:lineRule="auto"/>
        <w:rPr>
          <w:sz w:val="24"/>
          <w:szCs w:val="24"/>
        </w:rPr>
      </w:pPr>
      <w:r>
        <w:rPr>
          <w:sz w:val="24"/>
          <w:szCs w:val="24"/>
        </w:rPr>
        <w:t xml:space="preserve">The ability-to-pay inquiry </w:t>
      </w:r>
      <w:r w:rsidR="006F426C">
        <w:rPr>
          <w:sz w:val="24"/>
          <w:szCs w:val="24"/>
        </w:rPr>
        <w:t>imposition of only affordable costs</w:t>
      </w:r>
      <w:r>
        <w:rPr>
          <w:sz w:val="24"/>
          <w:szCs w:val="24"/>
        </w:rPr>
        <w:t xml:space="preserve"> applies even to</w:t>
      </w:r>
      <w:r w:rsidR="0050240A">
        <w:rPr>
          <w:sz w:val="24"/>
          <w:szCs w:val="24"/>
        </w:rPr>
        <w:t xml:space="preserve"> otherwise</w:t>
      </w:r>
      <w:r w:rsidRPr="00A024FF">
        <w:rPr>
          <w:sz w:val="24"/>
          <w:szCs w:val="24"/>
        </w:rPr>
        <w:t xml:space="preserve"> “mandatory” costs. Sections 9721(c.1) and 9728(b.2) explicitly permit a court to </w:t>
      </w:r>
      <w:r w:rsidR="0075381B">
        <w:rPr>
          <w:sz w:val="24"/>
          <w:szCs w:val="24"/>
        </w:rPr>
        <w:t xml:space="preserve">reduce </w:t>
      </w:r>
      <w:r w:rsidRPr="00A024FF">
        <w:rPr>
          <w:sz w:val="24"/>
          <w:szCs w:val="24"/>
        </w:rPr>
        <w:t>otherwise mandatory costs if the Court determines per Rule 706(C) that a defendant can</w:t>
      </w:r>
      <w:r>
        <w:rPr>
          <w:sz w:val="24"/>
          <w:szCs w:val="24"/>
        </w:rPr>
        <w:t>not pay. To the extent that these provisions</w:t>
      </w:r>
      <w:r w:rsidRPr="00A024FF">
        <w:rPr>
          <w:sz w:val="24"/>
          <w:szCs w:val="24"/>
        </w:rPr>
        <w:t xml:space="preserve"> conflict with any other statute imposing costs, </w:t>
      </w:r>
      <w:r>
        <w:rPr>
          <w:sz w:val="24"/>
          <w:szCs w:val="24"/>
        </w:rPr>
        <w:t>they</w:t>
      </w:r>
      <w:r w:rsidRPr="00A024FF">
        <w:rPr>
          <w:sz w:val="24"/>
          <w:szCs w:val="24"/>
        </w:rPr>
        <w:t xml:space="preserve"> apply “Notwithstanding any provision of law to the contrary.” 42</w:t>
      </w:r>
      <w:r w:rsidR="004E7D34">
        <w:rPr>
          <w:sz w:val="24"/>
          <w:szCs w:val="24"/>
        </w:rPr>
        <w:t xml:space="preserve"> </w:t>
      </w:r>
      <w:proofErr w:type="spellStart"/>
      <w:r w:rsidR="004E7D34">
        <w:rPr>
          <w:sz w:val="24"/>
          <w:szCs w:val="24"/>
        </w:rPr>
        <w:t>Pa</w:t>
      </w:r>
      <w:r w:rsidRPr="00A024FF">
        <w:rPr>
          <w:sz w:val="24"/>
          <w:szCs w:val="24"/>
        </w:rPr>
        <w:t>.</w:t>
      </w:r>
      <w:r w:rsidR="004E7D34">
        <w:rPr>
          <w:sz w:val="24"/>
          <w:szCs w:val="24"/>
        </w:rPr>
        <w:t>C.S</w:t>
      </w:r>
      <w:proofErr w:type="spellEnd"/>
      <w:r w:rsidR="004E7D34">
        <w:rPr>
          <w:sz w:val="24"/>
          <w:szCs w:val="24"/>
        </w:rPr>
        <w:t>.</w:t>
      </w:r>
      <w:r w:rsidRPr="00A024FF">
        <w:rPr>
          <w:sz w:val="24"/>
          <w:szCs w:val="24"/>
        </w:rPr>
        <w:t xml:space="preserve"> § 9728(b.2). Such language “clearly indicates that the legislature intended to limit the </w:t>
      </w:r>
      <w:r w:rsidRPr="00A024FF">
        <w:rPr>
          <w:sz w:val="24"/>
          <w:szCs w:val="24"/>
        </w:rPr>
        <w:lastRenderedPageBreak/>
        <w:t xml:space="preserve">application of prior” statutes. </w:t>
      </w:r>
      <w:r w:rsidRPr="00A024FF">
        <w:rPr>
          <w:i/>
          <w:sz w:val="24"/>
          <w:szCs w:val="24"/>
        </w:rPr>
        <w:t>Commonwealth v. Smith</w:t>
      </w:r>
      <w:r w:rsidRPr="00A024FF">
        <w:rPr>
          <w:sz w:val="24"/>
          <w:szCs w:val="24"/>
        </w:rPr>
        <w:t>, 544 A.2d 991, 998 (Pa. Super. Ct. 1988) (</w:t>
      </w:r>
      <w:proofErr w:type="spellStart"/>
      <w:r w:rsidRPr="00A024FF">
        <w:rPr>
          <w:sz w:val="24"/>
          <w:szCs w:val="24"/>
        </w:rPr>
        <w:t>en</w:t>
      </w:r>
      <w:proofErr w:type="spellEnd"/>
      <w:r w:rsidRPr="00A024FF">
        <w:rPr>
          <w:sz w:val="24"/>
          <w:szCs w:val="24"/>
        </w:rPr>
        <w:t xml:space="preserve"> banc). Thus, under the rules of statutory construction in 1 </w:t>
      </w:r>
      <w:proofErr w:type="spellStart"/>
      <w:r w:rsidRPr="00A024FF">
        <w:rPr>
          <w:sz w:val="24"/>
          <w:szCs w:val="24"/>
        </w:rPr>
        <w:t>Pa.</w:t>
      </w:r>
      <w:r w:rsidR="001017D1">
        <w:rPr>
          <w:sz w:val="24"/>
          <w:szCs w:val="24"/>
        </w:rPr>
        <w:t>C.S</w:t>
      </w:r>
      <w:proofErr w:type="spellEnd"/>
      <w:r w:rsidR="001017D1">
        <w:rPr>
          <w:sz w:val="24"/>
          <w:szCs w:val="24"/>
        </w:rPr>
        <w:t xml:space="preserve">. </w:t>
      </w:r>
      <w:r w:rsidRPr="00A024FF">
        <w:rPr>
          <w:sz w:val="24"/>
          <w:szCs w:val="24"/>
        </w:rPr>
        <w:t xml:space="preserve">§ 1933, the use of that language in §§ 9721(c.1) and 9728(b.2) means that they prevail, and all costs can be </w:t>
      </w:r>
      <w:r w:rsidR="00BF09BB">
        <w:rPr>
          <w:sz w:val="24"/>
          <w:szCs w:val="24"/>
        </w:rPr>
        <w:t xml:space="preserve">reduced or </w:t>
      </w:r>
      <w:r w:rsidRPr="00A024FF">
        <w:rPr>
          <w:sz w:val="24"/>
          <w:szCs w:val="24"/>
        </w:rPr>
        <w:t>waived.</w:t>
      </w:r>
      <w:r>
        <w:rPr>
          <w:rStyle w:val="FootnoteReference"/>
          <w:sz w:val="24"/>
          <w:szCs w:val="24"/>
        </w:rPr>
        <w:footnoteReference w:id="1"/>
      </w:r>
    </w:p>
    <w:p w14:paraId="0AE0A109" w14:textId="012F9B63" w:rsidR="005419B6" w:rsidRPr="005419B6" w:rsidRDefault="005419B6" w:rsidP="00E718C5">
      <w:pPr>
        <w:pStyle w:val="FootnoteText"/>
        <w:numPr>
          <w:ilvl w:val="0"/>
          <w:numId w:val="2"/>
        </w:numPr>
        <w:spacing w:line="480" w:lineRule="auto"/>
        <w:rPr>
          <w:b/>
          <w:sz w:val="24"/>
          <w:szCs w:val="24"/>
        </w:rPr>
      </w:pPr>
      <w:r w:rsidRPr="005419B6">
        <w:rPr>
          <w:sz w:val="24"/>
          <w:szCs w:val="24"/>
        </w:rPr>
        <w:t xml:space="preserve">This Court should act accordingly and </w:t>
      </w:r>
      <w:r w:rsidR="005729B4">
        <w:rPr>
          <w:sz w:val="24"/>
          <w:szCs w:val="24"/>
        </w:rPr>
        <w:t>only impose affordable costs on</w:t>
      </w:r>
      <w:r w:rsidRPr="005419B6">
        <w:rPr>
          <w:sz w:val="24"/>
          <w:szCs w:val="24"/>
        </w:rPr>
        <w:t xml:space="preserve"> Mr. </w:t>
      </w:r>
      <w:r w:rsidR="005729B4">
        <w:rPr>
          <w:color w:val="FF0000"/>
          <w:sz w:val="24"/>
          <w:szCs w:val="24"/>
        </w:rPr>
        <w:t>Doe</w:t>
      </w:r>
      <w:r w:rsidR="005729B4">
        <w:rPr>
          <w:sz w:val="24"/>
          <w:szCs w:val="24"/>
        </w:rPr>
        <w:t xml:space="preserve"> in light of his financial circumstances</w:t>
      </w:r>
      <w:r w:rsidRPr="005419B6">
        <w:rPr>
          <w:sz w:val="24"/>
          <w:szCs w:val="24"/>
        </w:rPr>
        <w:t>.</w:t>
      </w:r>
    </w:p>
    <w:p w14:paraId="780D7BE4" w14:textId="27A2DB16" w:rsidR="000D4747" w:rsidRDefault="000D4747" w:rsidP="005419B6">
      <w:pPr>
        <w:pStyle w:val="FootnoteText"/>
        <w:numPr>
          <w:ilvl w:val="0"/>
          <w:numId w:val="4"/>
        </w:numPr>
        <w:rPr>
          <w:b/>
          <w:sz w:val="24"/>
          <w:szCs w:val="24"/>
        </w:rPr>
      </w:pPr>
      <w:commentRangeStart w:id="3"/>
      <w:r>
        <w:rPr>
          <w:b/>
          <w:sz w:val="24"/>
          <w:szCs w:val="24"/>
        </w:rPr>
        <w:t xml:space="preserve">This Court </w:t>
      </w:r>
      <w:r w:rsidR="00585F3C">
        <w:rPr>
          <w:b/>
          <w:sz w:val="24"/>
          <w:szCs w:val="24"/>
        </w:rPr>
        <w:t>should not impose any costs on</w:t>
      </w:r>
      <w:r>
        <w:rPr>
          <w:b/>
          <w:sz w:val="24"/>
          <w:szCs w:val="24"/>
        </w:rPr>
        <w:t xml:space="preserve"> </w:t>
      </w:r>
      <w:r w:rsidR="00807101">
        <w:rPr>
          <w:b/>
          <w:sz w:val="24"/>
          <w:szCs w:val="24"/>
        </w:rPr>
        <w:t xml:space="preserve">Mr. </w:t>
      </w:r>
      <w:r w:rsidR="00807101" w:rsidRPr="00807101">
        <w:rPr>
          <w:b/>
          <w:color w:val="FF0000"/>
          <w:sz w:val="24"/>
          <w:szCs w:val="24"/>
        </w:rPr>
        <w:t>Doe’s</w:t>
      </w:r>
      <w:r w:rsidRPr="00807101">
        <w:rPr>
          <w:b/>
          <w:color w:val="FF0000"/>
          <w:sz w:val="24"/>
          <w:szCs w:val="24"/>
        </w:rPr>
        <w:t xml:space="preserve"> </w:t>
      </w:r>
      <w:r w:rsidR="005419B6">
        <w:rPr>
          <w:b/>
          <w:sz w:val="24"/>
          <w:szCs w:val="24"/>
        </w:rPr>
        <w:t>due to his indigence</w:t>
      </w:r>
      <w:r>
        <w:rPr>
          <w:b/>
          <w:sz w:val="24"/>
          <w:szCs w:val="24"/>
        </w:rPr>
        <w:t>.</w:t>
      </w:r>
      <w:commentRangeEnd w:id="3"/>
      <w:r w:rsidR="00585F3C">
        <w:rPr>
          <w:rStyle w:val="CommentReference"/>
          <w:rFonts w:eastAsiaTheme="minorEastAsia" w:cs="Times New Roman"/>
        </w:rPr>
        <w:commentReference w:id="3"/>
      </w:r>
    </w:p>
    <w:p w14:paraId="32DBB3B3" w14:textId="77777777" w:rsidR="005419B6" w:rsidRPr="000D4747" w:rsidRDefault="005419B6" w:rsidP="005419B6">
      <w:pPr>
        <w:pStyle w:val="FootnoteText"/>
        <w:ind w:left="1080"/>
        <w:rPr>
          <w:b/>
          <w:sz w:val="24"/>
          <w:szCs w:val="24"/>
        </w:rPr>
      </w:pPr>
    </w:p>
    <w:p w14:paraId="52E25041" w14:textId="111F3926" w:rsidR="00A024FF" w:rsidRPr="00A024FF" w:rsidRDefault="00950307" w:rsidP="00A056EB">
      <w:pPr>
        <w:pStyle w:val="Level1"/>
        <w:numPr>
          <w:ilvl w:val="0"/>
          <w:numId w:val="2"/>
        </w:numPr>
        <w:tabs>
          <w:tab w:val="left" w:pos="720"/>
        </w:tabs>
        <w:spacing w:line="480" w:lineRule="auto"/>
      </w:pPr>
      <w:r w:rsidRPr="00F60E58">
        <w:t>A</w:t>
      </w:r>
      <w:r w:rsidR="00782680" w:rsidRPr="00F60E58">
        <w:t>s described above—and as will be presented at a hearing on this Motion—</w:t>
      </w:r>
      <w:r w:rsidR="002F2438" w:rsidRPr="00F60E58">
        <w:t>Mr.</w:t>
      </w:r>
      <w:r w:rsidR="00C621F0" w:rsidRPr="00F60E58">
        <w:t xml:space="preserve"> </w:t>
      </w:r>
      <w:r w:rsidR="00C621F0" w:rsidRPr="00F60E58">
        <w:rPr>
          <w:color w:val="FF0000"/>
        </w:rPr>
        <w:t>Doe</w:t>
      </w:r>
      <w:r w:rsidR="00C621F0" w:rsidRPr="00F60E58">
        <w:t xml:space="preserve"> is indigent</w:t>
      </w:r>
      <w:r w:rsidRPr="00F60E58">
        <w:t xml:space="preserve"> and will remain </w:t>
      </w:r>
      <w:r w:rsidR="007058DB" w:rsidRPr="00F60E58">
        <w:t>unable to pay</w:t>
      </w:r>
      <w:r w:rsidRPr="00F60E58">
        <w:t xml:space="preserve"> after serving his sentence</w:t>
      </w:r>
      <w:r w:rsidR="00C621F0" w:rsidRPr="00F60E58">
        <w:t>.</w:t>
      </w:r>
      <w:r w:rsidR="00743725" w:rsidRPr="00F60E58">
        <w:t xml:space="preserve"> </w:t>
      </w:r>
      <w:commentRangeStart w:id="4"/>
      <w:r w:rsidR="00743725" w:rsidRPr="00F60E58">
        <w:t xml:space="preserve">Mr. </w:t>
      </w:r>
      <w:r w:rsidR="00743725" w:rsidRPr="00F60E58">
        <w:rPr>
          <w:color w:val="FF0000"/>
        </w:rPr>
        <w:t xml:space="preserve">Doe [facts about receiving SSI, has not been able to afford to live on his own, </w:t>
      </w:r>
      <w:proofErr w:type="spellStart"/>
      <w:r w:rsidR="00743725" w:rsidRPr="00F60E58">
        <w:rPr>
          <w:color w:val="FF0000"/>
        </w:rPr>
        <w:t>etc</w:t>
      </w:r>
      <w:proofErr w:type="spellEnd"/>
      <w:r w:rsidR="00743725" w:rsidRPr="00F60E58">
        <w:rPr>
          <w:color w:val="FF0000"/>
        </w:rPr>
        <w:t xml:space="preserve">; recite some of the key facts to show that even before this case he couldn’t afford to live on his own. </w:t>
      </w:r>
      <w:r w:rsidR="00A024FF">
        <w:t xml:space="preserve">Moreover, Mr. </w:t>
      </w:r>
      <w:r w:rsidR="00A024FF" w:rsidRPr="00454A5D">
        <w:rPr>
          <w:color w:val="FF0000"/>
        </w:rPr>
        <w:t>Doe</w:t>
      </w:r>
      <w:r w:rsidR="00A024FF">
        <w:rPr>
          <w:color w:val="FF0000"/>
        </w:rPr>
        <w:t xml:space="preserve"> </w:t>
      </w:r>
      <w:r w:rsidR="00A024FF" w:rsidRPr="003352AA">
        <w:t>received food stamps and Medicaid, and he currently receives the services of the public defender, facts that “invite the presumption of indigence.”</w:t>
      </w:r>
      <w:commentRangeEnd w:id="4"/>
      <w:r w:rsidR="002E2198">
        <w:rPr>
          <w:rStyle w:val="CommentReference"/>
        </w:rPr>
        <w:commentReference w:id="4"/>
      </w:r>
      <w:r w:rsidR="00A024FF" w:rsidRPr="003352AA">
        <w:rPr>
          <w:i/>
        </w:rPr>
        <w:t xml:space="preserve"> Commonwealth v. Eggers</w:t>
      </w:r>
      <w:r w:rsidR="00A024FF" w:rsidRPr="003352AA">
        <w:t xml:space="preserve">, 742 A.2d 174, 176 n.1 (Pa. Super. Ct. 1999). </w:t>
      </w:r>
      <w:r w:rsidR="00A024FF">
        <w:t>No facts rebut this presumption</w:t>
      </w:r>
      <w:r w:rsidR="002E496F">
        <w:t xml:space="preserve">—and indeed </w:t>
      </w:r>
      <w:r w:rsidR="005419B6">
        <w:t>the facts</w:t>
      </w:r>
      <w:r w:rsidR="002E496F">
        <w:t xml:space="preserve"> show that Mr. </w:t>
      </w:r>
      <w:r w:rsidR="002E496F" w:rsidRPr="00454A5D">
        <w:rPr>
          <w:color w:val="FF0000"/>
        </w:rPr>
        <w:t>Doe</w:t>
      </w:r>
      <w:r w:rsidR="002E496F">
        <w:rPr>
          <w:color w:val="FF0000"/>
        </w:rPr>
        <w:t xml:space="preserve"> </w:t>
      </w:r>
      <w:r w:rsidR="002E496F">
        <w:t>is and will be unab</w:t>
      </w:r>
      <w:r w:rsidR="00A056EB">
        <w:t>le to afford to pay court costs.</w:t>
      </w:r>
      <w:r w:rsidR="00A056EB" w:rsidRPr="00A056EB">
        <w:rPr>
          <w:i/>
        </w:rPr>
        <w:t xml:space="preserve"> </w:t>
      </w:r>
      <w:r w:rsidR="00A056EB" w:rsidRPr="002F2438">
        <w:rPr>
          <w:i/>
        </w:rPr>
        <w:t>Commonwealth v. Gaskin</w:t>
      </w:r>
      <w:r w:rsidR="00A056EB" w:rsidRPr="002F2438">
        <w:t xml:space="preserve">, 472 A.2d 1154, 1157–58 (Pa. Super. Ct. 1984) (finding no evidence of </w:t>
      </w:r>
      <w:r w:rsidR="00A056EB">
        <w:t xml:space="preserve">a defendant’s </w:t>
      </w:r>
      <w:r w:rsidR="00A056EB" w:rsidRPr="002F2438">
        <w:t xml:space="preserve">ability to pay </w:t>
      </w:r>
      <w:r w:rsidR="00A056EB">
        <w:t>a fine</w:t>
      </w:r>
      <w:r w:rsidR="00A056EB" w:rsidRPr="002F2438">
        <w:t xml:space="preserve"> where defendant has no “financial assets [or] liabilities” and has been “living from hand to mouth”)</w:t>
      </w:r>
      <w:r w:rsidR="00A056EB">
        <w:t xml:space="preserve">; </w:t>
      </w:r>
      <w:proofErr w:type="spellStart"/>
      <w:r w:rsidR="00A056EB">
        <w:rPr>
          <w:i/>
        </w:rPr>
        <w:t>Gerlitzki</w:t>
      </w:r>
      <w:proofErr w:type="spellEnd"/>
      <w:r w:rsidR="00A056EB">
        <w:rPr>
          <w:i/>
        </w:rPr>
        <w:t xml:space="preserve"> v. </w:t>
      </w:r>
      <w:proofErr w:type="spellStart"/>
      <w:r w:rsidR="00A056EB" w:rsidRPr="00667804">
        <w:rPr>
          <w:i/>
        </w:rPr>
        <w:t>Feldser</w:t>
      </w:r>
      <w:proofErr w:type="spellEnd"/>
      <w:r w:rsidR="00A056EB" w:rsidRPr="00667804">
        <w:t>, 307 A.2d 307, 308</w:t>
      </w:r>
      <w:r w:rsidR="00A056EB">
        <w:t xml:space="preserve"> (Pa. Super. Ct. 1973) (</w:t>
      </w:r>
      <w:proofErr w:type="spellStart"/>
      <w:r w:rsidR="00A056EB">
        <w:t>en</w:t>
      </w:r>
      <w:proofErr w:type="spellEnd"/>
      <w:r w:rsidR="00A056EB">
        <w:t xml:space="preserve"> banc) (dispositive question is whether a person “is in poverty. If they are in poverty, it follows that they are unable to pay the costs, and their </w:t>
      </w:r>
      <w:r w:rsidR="00A056EB">
        <w:lastRenderedPageBreak/>
        <w:t xml:space="preserve">petition should be granted.”); </w:t>
      </w:r>
      <w:proofErr w:type="spellStart"/>
      <w:r w:rsidR="00A056EB">
        <w:rPr>
          <w:i/>
        </w:rPr>
        <w:t>Schoepple</w:t>
      </w:r>
      <w:proofErr w:type="spellEnd"/>
      <w:r w:rsidR="00A056EB">
        <w:rPr>
          <w:i/>
        </w:rPr>
        <w:t xml:space="preserve"> v. </w:t>
      </w:r>
      <w:proofErr w:type="spellStart"/>
      <w:r w:rsidR="00A056EB">
        <w:rPr>
          <w:i/>
        </w:rPr>
        <w:t>Schoepple</w:t>
      </w:r>
      <w:proofErr w:type="spellEnd"/>
      <w:r w:rsidR="00A056EB">
        <w:t>, 361 A.2d 665, 667 (Pa. Super Ct. 1976) (</w:t>
      </w:r>
      <w:proofErr w:type="spellStart"/>
      <w:r w:rsidR="00A056EB">
        <w:t>en</w:t>
      </w:r>
      <w:proofErr w:type="spellEnd"/>
      <w:r w:rsidR="00A056EB">
        <w:t xml:space="preserve"> banc)</w:t>
      </w:r>
      <w:r w:rsidR="00A056EB" w:rsidRPr="003E6C62">
        <w:t xml:space="preserve"> </w:t>
      </w:r>
      <w:r w:rsidR="00A056EB">
        <w:t>(“[O]ne in poverty will not be able to pay costs.”).</w:t>
      </w:r>
      <w:r w:rsidR="00A056EB">
        <w:rPr>
          <w:rStyle w:val="FootnoteReference"/>
        </w:rPr>
        <w:footnoteReference w:id="2"/>
      </w:r>
    </w:p>
    <w:p w14:paraId="5C1E176D" w14:textId="19E16346" w:rsidR="00743725" w:rsidRPr="00F60E58" w:rsidRDefault="00A024FF" w:rsidP="00F60E58">
      <w:pPr>
        <w:pStyle w:val="Level1"/>
        <w:numPr>
          <w:ilvl w:val="0"/>
          <w:numId w:val="2"/>
        </w:numPr>
        <w:tabs>
          <w:tab w:val="left" w:pos="720"/>
        </w:tabs>
        <w:spacing w:line="480" w:lineRule="auto"/>
      </w:pPr>
      <w:r w:rsidRPr="00A024FF">
        <w:t xml:space="preserve">Our </w:t>
      </w:r>
      <w:r w:rsidR="00F60E58">
        <w:t xml:space="preserve">Superior Court </w:t>
      </w:r>
      <w:r w:rsidR="00F60E58" w:rsidRPr="0019582F">
        <w:t>has held that Rule 706 enforces the constitutional</w:t>
      </w:r>
      <w:r w:rsidR="00F60E58">
        <w:t xml:space="preserve"> requirement that there is a</w:t>
      </w:r>
      <w:r w:rsidR="00F60E58" w:rsidRPr="0019582F">
        <w:t xml:space="preserve"> “duty of paying costs ‘only against those who actually become able to meet it without hardship.’” </w:t>
      </w:r>
      <w:r w:rsidR="00F60E58" w:rsidRPr="00F60E58">
        <w:rPr>
          <w:i/>
        </w:rPr>
        <w:t>Commonwealth v. Hernandez</w:t>
      </w:r>
      <w:r w:rsidR="00F60E58" w:rsidRPr="0019582F">
        <w:t xml:space="preserve">, 917 A.2d 332, 337 (Pa. Super. Ct. 2007) (quoting </w:t>
      </w:r>
      <w:r w:rsidR="00F60E58" w:rsidRPr="00F60E58">
        <w:rPr>
          <w:i/>
        </w:rPr>
        <w:t>Fuller v. Oregon</w:t>
      </w:r>
      <w:r w:rsidR="00F60E58" w:rsidRPr="0019582F">
        <w:t xml:space="preserve">, 417 U.S. 40, 54 (1974)). </w:t>
      </w:r>
      <w:r w:rsidR="00F60E58">
        <w:t>In making this ruling</w:t>
      </w:r>
      <w:r w:rsidR="00F60E58" w:rsidRPr="0019582F">
        <w:t xml:space="preserve">, the </w:t>
      </w:r>
      <w:r w:rsidR="00F60E58" w:rsidRPr="00F60E58">
        <w:rPr>
          <w:i/>
        </w:rPr>
        <w:t>Hernandez</w:t>
      </w:r>
      <w:r w:rsidR="00F60E58" w:rsidRPr="0019582F">
        <w:t xml:space="preserve"> court cited with approval </w:t>
      </w:r>
      <w:r w:rsidR="00F60E58" w:rsidRPr="00F60E58">
        <w:rPr>
          <w:i/>
        </w:rPr>
        <w:t>Alexander v. Johnson</w:t>
      </w:r>
      <w:r w:rsidR="00F60E58" w:rsidRPr="0019582F">
        <w:t>, 742 F.2d 117, 124 (4th Cir. 1984), which held that a court must consider “the other demands on [the defendant’s] own and family's finances, and the hardships he or his family will endure if repayment is required. The purpose of this inquiry is to assure repayment is not required as long as he remains indigent.”</w:t>
      </w:r>
    </w:p>
    <w:p w14:paraId="0128687C" w14:textId="4F1AFB56" w:rsidR="008F3DBC" w:rsidRDefault="00E00EC6" w:rsidP="005419B6">
      <w:pPr>
        <w:pStyle w:val="FootnoteText"/>
        <w:numPr>
          <w:ilvl w:val="0"/>
          <w:numId w:val="2"/>
        </w:numPr>
        <w:spacing w:line="480" w:lineRule="auto"/>
        <w:rPr>
          <w:sz w:val="24"/>
          <w:szCs w:val="24"/>
        </w:rPr>
      </w:pPr>
      <w:r w:rsidRPr="00A024FF">
        <w:rPr>
          <w:sz w:val="24"/>
          <w:szCs w:val="24"/>
        </w:rPr>
        <w:t>As is described in the previous section, Rule 706(C) requires that this Court tailor Mr.</w:t>
      </w:r>
      <w:r w:rsidRPr="00A024FF">
        <w:rPr>
          <w:color w:val="FF0000"/>
          <w:sz w:val="24"/>
          <w:szCs w:val="24"/>
        </w:rPr>
        <w:t xml:space="preserve"> Doe’s</w:t>
      </w:r>
      <w:r w:rsidRPr="00A024FF">
        <w:rPr>
          <w:sz w:val="24"/>
          <w:szCs w:val="24"/>
        </w:rPr>
        <w:t xml:space="preserve"> court costs based on his ability to pay. </w:t>
      </w:r>
      <w:r w:rsidR="002F2438" w:rsidRPr="00E00EC6">
        <w:rPr>
          <w:color w:val="FF0000"/>
          <w:sz w:val="24"/>
          <w:szCs w:val="24"/>
        </w:rPr>
        <w:t>In light of his indigence</w:t>
      </w:r>
      <w:r w:rsidR="008F3DBC" w:rsidRPr="00E00EC6">
        <w:rPr>
          <w:color w:val="FF0000"/>
          <w:sz w:val="24"/>
          <w:szCs w:val="24"/>
        </w:rPr>
        <w:t xml:space="preserve"> and inability to pay</w:t>
      </w:r>
      <w:r w:rsidR="002F2438" w:rsidRPr="00E00EC6">
        <w:rPr>
          <w:color w:val="FF0000"/>
          <w:sz w:val="24"/>
          <w:szCs w:val="24"/>
        </w:rPr>
        <w:t xml:space="preserve">, this Court should </w:t>
      </w:r>
      <w:r w:rsidR="00516FF0" w:rsidRPr="00E00EC6">
        <w:rPr>
          <w:color w:val="FF0000"/>
          <w:sz w:val="24"/>
          <w:szCs w:val="24"/>
        </w:rPr>
        <w:t>not impose any costs on</w:t>
      </w:r>
      <w:r w:rsidR="002F2438" w:rsidRPr="00E00EC6">
        <w:rPr>
          <w:color w:val="FF0000"/>
          <w:sz w:val="24"/>
          <w:szCs w:val="24"/>
        </w:rPr>
        <w:t xml:space="preserve"> Mr. </w:t>
      </w:r>
      <w:r w:rsidR="00516FF0" w:rsidRPr="00E00EC6">
        <w:rPr>
          <w:color w:val="FF0000"/>
          <w:sz w:val="24"/>
          <w:szCs w:val="24"/>
        </w:rPr>
        <w:t>Doe</w:t>
      </w:r>
      <w:r w:rsidR="002F2438" w:rsidRPr="00E00EC6">
        <w:rPr>
          <w:color w:val="FF0000"/>
          <w:sz w:val="24"/>
          <w:szCs w:val="24"/>
        </w:rPr>
        <w:t xml:space="preserve"> in this case.</w:t>
      </w:r>
      <w:r w:rsidR="00A024FF" w:rsidRPr="00E00EC6">
        <w:rPr>
          <w:color w:val="FF0000"/>
          <w:sz w:val="24"/>
          <w:szCs w:val="24"/>
        </w:rPr>
        <w:t xml:space="preserve"> </w:t>
      </w:r>
    </w:p>
    <w:p w14:paraId="071DA34F" w14:textId="3A65EFA6" w:rsidR="003352AA" w:rsidRDefault="003352AA" w:rsidP="008F3DBC">
      <w:pPr>
        <w:pStyle w:val="FootnoteText"/>
        <w:spacing w:line="480" w:lineRule="auto"/>
        <w:rPr>
          <w:sz w:val="24"/>
          <w:szCs w:val="24"/>
        </w:rPr>
      </w:pPr>
      <w:r w:rsidRPr="003352AA">
        <w:rPr>
          <w:sz w:val="24"/>
          <w:szCs w:val="24"/>
        </w:rPr>
        <w:t xml:space="preserve">WHEREFORE, Defendant </w:t>
      </w:r>
      <w:r w:rsidR="002F2438" w:rsidRPr="00454A5D">
        <w:rPr>
          <w:color w:val="FF0000"/>
          <w:sz w:val="24"/>
          <w:szCs w:val="24"/>
        </w:rPr>
        <w:t>Doe</w:t>
      </w:r>
      <w:r w:rsidR="002F2438" w:rsidRPr="003352AA">
        <w:rPr>
          <w:sz w:val="24"/>
          <w:szCs w:val="24"/>
        </w:rPr>
        <w:t xml:space="preserve"> </w:t>
      </w:r>
      <w:r w:rsidRPr="003352AA">
        <w:rPr>
          <w:sz w:val="24"/>
          <w:szCs w:val="24"/>
        </w:rPr>
        <w:t>request</w:t>
      </w:r>
      <w:r w:rsidR="001A657C">
        <w:rPr>
          <w:sz w:val="24"/>
          <w:szCs w:val="24"/>
        </w:rPr>
        <w:t>s</w:t>
      </w:r>
      <w:r w:rsidRPr="003352AA">
        <w:rPr>
          <w:sz w:val="24"/>
          <w:szCs w:val="24"/>
        </w:rPr>
        <w:t xml:space="preserve"> that this Court </w:t>
      </w:r>
      <w:commentRangeStart w:id="5"/>
      <w:r w:rsidR="00E00EC6" w:rsidRPr="00E00EC6">
        <w:rPr>
          <w:color w:val="FF0000"/>
          <w:sz w:val="24"/>
          <w:szCs w:val="24"/>
        </w:rPr>
        <w:t>not impose costs</w:t>
      </w:r>
      <w:r w:rsidR="002F2438" w:rsidRPr="00E00EC6">
        <w:rPr>
          <w:color w:val="FF0000"/>
          <w:sz w:val="24"/>
          <w:szCs w:val="24"/>
        </w:rPr>
        <w:t xml:space="preserve"> in this matter due to his indigence</w:t>
      </w:r>
      <w:r w:rsidRPr="00E00EC6">
        <w:rPr>
          <w:color w:val="FF0000"/>
          <w:sz w:val="24"/>
          <w:szCs w:val="24"/>
        </w:rPr>
        <w:t xml:space="preserve">. </w:t>
      </w:r>
      <w:commentRangeEnd w:id="5"/>
      <w:r w:rsidR="00E00EC6">
        <w:rPr>
          <w:rStyle w:val="CommentReference"/>
          <w:rFonts w:eastAsiaTheme="minorEastAsia" w:cs="Times New Roman"/>
        </w:rPr>
        <w:commentReference w:id="5"/>
      </w:r>
    </w:p>
    <w:p w14:paraId="2A32C2BF" w14:textId="77777777" w:rsidR="00C87724" w:rsidRPr="003352AA" w:rsidRDefault="00C87724" w:rsidP="003352AA">
      <w:pPr>
        <w:pStyle w:val="FootnoteText"/>
        <w:spacing w:line="480" w:lineRule="auto"/>
        <w:ind w:left="360"/>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BLOCK]</w:t>
      </w:r>
    </w:p>
    <w:sectPr w:rsidR="00C87724" w:rsidRPr="003352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drew" w:date="2021-02-17T11:24:00Z" w:initials="AC">
    <w:p w14:paraId="7BEC798A" w14:textId="77777777" w:rsidR="006D55C2" w:rsidRDefault="006D55C2" w:rsidP="006D55C2">
      <w:pPr>
        <w:pStyle w:val="CommentText"/>
      </w:pPr>
      <w:r>
        <w:rPr>
          <w:rStyle w:val="CommentReference"/>
        </w:rPr>
        <w:annotationRef/>
      </w:r>
      <w:r>
        <w:t xml:space="preserve">This could be filed as a post-sentencing motion, or it could be filed ahead of sentencing – or the arguments could just be raised orally </w:t>
      </w:r>
    </w:p>
  </w:comment>
  <w:comment w:id="1" w:author="Andrew [2]" w:date="2020-11-18T16:24:00Z" w:initials="AC">
    <w:p w14:paraId="39FFAF8D" w14:textId="23E9B63F" w:rsidR="006D55C2" w:rsidRDefault="006D55C2" w:rsidP="006D55C2">
      <w:pPr>
        <w:pStyle w:val="CommentText"/>
      </w:pPr>
      <w:r>
        <w:rPr>
          <w:rStyle w:val="CommentReference"/>
        </w:rPr>
        <w:annotationRef/>
      </w:r>
      <w:r>
        <w:t>You should customize this based on whether you are asking for no costs, or if you are asking for a reduced costs; if the latter, you should try to identify a specific amount and why.</w:t>
      </w:r>
    </w:p>
    <w:p w14:paraId="20FE76FC" w14:textId="77777777" w:rsidR="006D55C2" w:rsidRDefault="006D55C2" w:rsidP="006D55C2">
      <w:pPr>
        <w:pStyle w:val="CommentText"/>
      </w:pPr>
    </w:p>
    <w:p w14:paraId="5D277551" w14:textId="24B70C11" w:rsidR="006D55C2" w:rsidRDefault="006D55C2" w:rsidP="006D55C2">
      <w:pPr>
        <w:pStyle w:val="CommentText"/>
      </w:pPr>
      <w:r>
        <w:t xml:space="preserve">For example, if the defendant can afford $10/month and is on probation for 24 months, then ask for an amount that does not exceed $240, so that the </w:t>
      </w:r>
      <w:r w:rsidR="00186558">
        <w:t>costs</w:t>
      </w:r>
      <w:r>
        <w:t xml:space="preserve"> should (hopefully) be paid in full by the time probation ends.</w:t>
      </w:r>
    </w:p>
  </w:comment>
  <w:comment w:id="3" w:author="Andrew" w:date="2021-02-17T15:13:00Z" w:initials="AC">
    <w:p w14:paraId="2DBB9BBB" w14:textId="62E34BD9" w:rsidR="00585F3C" w:rsidRDefault="00585F3C" w:rsidP="00585F3C">
      <w:pPr>
        <w:pStyle w:val="CommentText"/>
      </w:pPr>
      <w:r>
        <w:rPr>
          <w:rStyle w:val="CommentReference"/>
        </w:rPr>
        <w:annotationRef/>
      </w:r>
      <w:r>
        <w:t>Consider whether you are asking for no costs, or if your client can afford to pay some smaller amount of costs.</w:t>
      </w:r>
    </w:p>
    <w:p w14:paraId="11522C61" w14:textId="77777777" w:rsidR="00585F3C" w:rsidRDefault="00585F3C" w:rsidP="00585F3C">
      <w:pPr>
        <w:pStyle w:val="CommentText"/>
      </w:pPr>
    </w:p>
    <w:p w14:paraId="07F2C2B1" w14:textId="74F73C52" w:rsidR="00585F3C" w:rsidRDefault="00585F3C" w:rsidP="00585F3C">
      <w:pPr>
        <w:pStyle w:val="CommentText"/>
      </w:pPr>
      <w:r>
        <w:t xml:space="preserve">As is noted above in the comments, the best way to do this would be to suggest a total amount of the </w:t>
      </w:r>
      <w:r w:rsidR="00941535">
        <w:t>costs</w:t>
      </w:r>
      <w:r>
        <w:t xml:space="preserve"> based on what your client will likely be able to pay each month x the months on probation (or perhaps the statutory maximum sentence of the offense, if there will not be any probation)</w:t>
      </w:r>
    </w:p>
  </w:comment>
  <w:comment w:id="4" w:author="Andrew" w:date="2021-02-17T15:14:00Z" w:initials="AC">
    <w:p w14:paraId="6FED7B3E" w14:textId="3826ACE9" w:rsidR="002E2198" w:rsidRDefault="002E2198">
      <w:pPr>
        <w:pStyle w:val="CommentText"/>
      </w:pPr>
      <w:r>
        <w:rPr>
          <w:rStyle w:val="CommentReference"/>
        </w:rPr>
        <w:annotationRef/>
      </w:r>
      <w:r>
        <w:t>For all of this, of course customize it based on the defendant’s individual circumstances</w:t>
      </w:r>
    </w:p>
  </w:comment>
  <w:comment w:id="5" w:author="Andrew" w:date="2021-02-17T15:16:00Z" w:initials="AC">
    <w:p w14:paraId="73A781AD" w14:textId="771C66BA" w:rsidR="00E00EC6" w:rsidRDefault="00E00EC6">
      <w:pPr>
        <w:pStyle w:val="CommentText"/>
      </w:pPr>
      <w:r>
        <w:rPr>
          <w:rStyle w:val="CommentReference"/>
        </w:rPr>
        <w:annotationRef/>
      </w:r>
      <w:r>
        <w:t>Or, depending on case circumstances, not impose costs exceeding X in light of his financial circumstances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EC798A" w15:done="0"/>
  <w15:commentEx w15:paraId="5D277551" w15:done="0"/>
  <w15:commentEx w15:paraId="07F2C2B1" w15:done="0"/>
  <w15:commentEx w15:paraId="6FED7B3E" w15:done="0"/>
  <w15:commentEx w15:paraId="73A781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A3F5A" w14:textId="77777777" w:rsidR="007C1A75" w:rsidRDefault="007C1A75" w:rsidP="00144746">
      <w:r>
        <w:separator/>
      </w:r>
    </w:p>
  </w:endnote>
  <w:endnote w:type="continuationSeparator" w:id="0">
    <w:p w14:paraId="6F1F1D1C" w14:textId="77777777" w:rsidR="007C1A75" w:rsidRDefault="007C1A75" w:rsidP="0014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3FBB6" w14:textId="77777777" w:rsidR="000C6E3E" w:rsidRDefault="000C6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380531"/>
      <w:docPartObj>
        <w:docPartGallery w:val="Page Numbers (Bottom of Page)"/>
        <w:docPartUnique/>
      </w:docPartObj>
    </w:sdtPr>
    <w:sdtEndPr>
      <w:rPr>
        <w:noProof/>
      </w:rPr>
    </w:sdtEndPr>
    <w:sdtContent>
      <w:p w14:paraId="6C48D7BD" w14:textId="4D0F0A2E" w:rsidR="000C6E3E" w:rsidRDefault="000C6E3E">
        <w:pPr>
          <w:pStyle w:val="Footer"/>
          <w:jc w:val="center"/>
        </w:pPr>
        <w:r>
          <w:fldChar w:fldCharType="begin"/>
        </w:r>
        <w:r>
          <w:instrText xml:space="preserve"> PAGE   \* MERGEFORMAT </w:instrText>
        </w:r>
        <w:r>
          <w:fldChar w:fldCharType="separate"/>
        </w:r>
        <w:r w:rsidR="00FB4702">
          <w:rPr>
            <w:noProof/>
          </w:rPr>
          <w:t>2</w:t>
        </w:r>
        <w:r>
          <w:rPr>
            <w:noProof/>
          </w:rPr>
          <w:fldChar w:fldCharType="end"/>
        </w:r>
      </w:p>
    </w:sdtContent>
  </w:sdt>
  <w:p w14:paraId="58306DAD" w14:textId="77777777" w:rsidR="000C6E3E" w:rsidRDefault="000C6E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CA8AD" w14:textId="77777777" w:rsidR="000C6E3E" w:rsidRDefault="000C6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C1361" w14:textId="77777777" w:rsidR="007C1A75" w:rsidRDefault="007C1A75" w:rsidP="00144746">
      <w:r>
        <w:separator/>
      </w:r>
    </w:p>
  </w:footnote>
  <w:footnote w:type="continuationSeparator" w:id="0">
    <w:p w14:paraId="3EF190AF" w14:textId="77777777" w:rsidR="007C1A75" w:rsidRDefault="007C1A75" w:rsidP="00144746">
      <w:r>
        <w:continuationSeparator/>
      </w:r>
    </w:p>
  </w:footnote>
  <w:footnote w:id="1">
    <w:p w14:paraId="62A5D767" w14:textId="14EF1A09" w:rsidR="005419B6" w:rsidRPr="005419B6" w:rsidRDefault="005419B6" w:rsidP="005419B6">
      <w:pPr>
        <w:pStyle w:val="FootnoteText"/>
        <w:rPr>
          <w:sz w:val="24"/>
          <w:szCs w:val="24"/>
        </w:rPr>
      </w:pPr>
      <w:r w:rsidRPr="005419B6">
        <w:rPr>
          <w:rStyle w:val="FootnoteReference"/>
          <w:sz w:val="24"/>
          <w:szCs w:val="24"/>
        </w:rPr>
        <w:footnoteRef/>
      </w:r>
      <w:r w:rsidRPr="005419B6">
        <w:rPr>
          <w:sz w:val="24"/>
          <w:szCs w:val="24"/>
        </w:rPr>
        <w:t xml:space="preserve"> There is also not necessarily a conflict between §§ 9721(c.1) and 9728(b.2) and other statutes that impose costs. Statutes addressing costs must be read </w:t>
      </w:r>
      <w:r w:rsidRPr="005419B6">
        <w:rPr>
          <w:i/>
          <w:sz w:val="24"/>
          <w:szCs w:val="24"/>
        </w:rPr>
        <w:t xml:space="preserve">in </w:t>
      </w:r>
      <w:proofErr w:type="spellStart"/>
      <w:r w:rsidRPr="005419B6">
        <w:rPr>
          <w:i/>
          <w:sz w:val="24"/>
          <w:szCs w:val="24"/>
        </w:rPr>
        <w:t>pari</w:t>
      </w:r>
      <w:proofErr w:type="spellEnd"/>
      <w:r w:rsidRPr="005419B6">
        <w:rPr>
          <w:i/>
          <w:sz w:val="24"/>
          <w:szCs w:val="24"/>
        </w:rPr>
        <w:t xml:space="preserve"> </w:t>
      </w:r>
      <w:proofErr w:type="spellStart"/>
      <w:r w:rsidRPr="005419B6">
        <w:rPr>
          <w:i/>
          <w:sz w:val="24"/>
          <w:szCs w:val="24"/>
        </w:rPr>
        <w:t>materia</w:t>
      </w:r>
      <w:proofErr w:type="spellEnd"/>
      <w:r w:rsidRPr="005419B6">
        <w:rPr>
          <w:sz w:val="24"/>
          <w:szCs w:val="24"/>
        </w:rPr>
        <w:t xml:space="preserve">, and all provisions must be “construed, if possible, so that effect may be given to both.” 1 </w:t>
      </w:r>
      <w:proofErr w:type="spellStart"/>
      <w:r w:rsidRPr="005419B6">
        <w:rPr>
          <w:sz w:val="24"/>
          <w:szCs w:val="24"/>
        </w:rPr>
        <w:t>Pa</w:t>
      </w:r>
      <w:r w:rsidR="00E70C56">
        <w:rPr>
          <w:sz w:val="24"/>
          <w:szCs w:val="24"/>
        </w:rPr>
        <w:t>.C.S</w:t>
      </w:r>
      <w:proofErr w:type="spellEnd"/>
      <w:r w:rsidR="00E70C56">
        <w:rPr>
          <w:sz w:val="24"/>
          <w:szCs w:val="24"/>
        </w:rPr>
        <w:t>.</w:t>
      </w:r>
      <w:r w:rsidRPr="005419B6">
        <w:rPr>
          <w:sz w:val="24"/>
          <w:szCs w:val="24"/>
        </w:rPr>
        <w:t xml:space="preserve"> §§ 1932-33. The way to give effect to other “mandatory” costs statutes and §§ 9721(c.1) and 9728(b.2) is to interpret that the latter provide the Court with discretion to waive costs if the defendant is indigent; they must be imposed only if the defendant is able to pay them. </w:t>
      </w:r>
    </w:p>
  </w:footnote>
  <w:footnote w:id="2">
    <w:p w14:paraId="4FDAC837" w14:textId="467D4B4A" w:rsidR="00A056EB" w:rsidRPr="005419B6" w:rsidRDefault="00A056EB">
      <w:pPr>
        <w:pStyle w:val="FootnoteText"/>
        <w:rPr>
          <w:rFonts w:eastAsia="Times New Roman" w:cs="Times New Roman"/>
          <w:sz w:val="24"/>
          <w:szCs w:val="24"/>
        </w:rPr>
      </w:pPr>
      <w:r w:rsidRPr="005419B6">
        <w:rPr>
          <w:rStyle w:val="FootnoteReference"/>
          <w:sz w:val="24"/>
          <w:szCs w:val="24"/>
        </w:rPr>
        <w:footnoteRef/>
      </w:r>
      <w:r w:rsidRPr="005419B6">
        <w:rPr>
          <w:sz w:val="24"/>
          <w:szCs w:val="24"/>
        </w:rPr>
        <w:t xml:space="preserve"> While </w:t>
      </w:r>
      <w:proofErr w:type="spellStart"/>
      <w:r w:rsidRPr="005419B6">
        <w:rPr>
          <w:i/>
          <w:sz w:val="24"/>
          <w:szCs w:val="24"/>
        </w:rPr>
        <w:t>Gerlitzki</w:t>
      </w:r>
      <w:proofErr w:type="spellEnd"/>
      <w:r w:rsidRPr="005419B6">
        <w:rPr>
          <w:sz w:val="24"/>
          <w:szCs w:val="24"/>
        </w:rPr>
        <w:t xml:space="preserve"> and </w:t>
      </w:r>
      <w:proofErr w:type="spellStart"/>
      <w:r w:rsidRPr="005419B6">
        <w:rPr>
          <w:i/>
          <w:sz w:val="24"/>
          <w:szCs w:val="24"/>
        </w:rPr>
        <w:t>Schoepple</w:t>
      </w:r>
      <w:proofErr w:type="spellEnd"/>
      <w:r w:rsidRPr="005419B6">
        <w:rPr>
          <w:sz w:val="24"/>
          <w:szCs w:val="24"/>
        </w:rPr>
        <w:t xml:space="preserve"> are </w:t>
      </w:r>
      <w:r w:rsidRPr="005419B6">
        <w:rPr>
          <w:i/>
          <w:sz w:val="24"/>
          <w:szCs w:val="24"/>
        </w:rPr>
        <w:t xml:space="preserve">in forma </w:t>
      </w:r>
      <w:proofErr w:type="spellStart"/>
      <w:r w:rsidRPr="005419B6">
        <w:rPr>
          <w:i/>
          <w:sz w:val="24"/>
          <w:szCs w:val="24"/>
        </w:rPr>
        <w:t>pauperis</w:t>
      </w:r>
      <w:proofErr w:type="spellEnd"/>
      <w:r w:rsidRPr="005419B6">
        <w:rPr>
          <w:sz w:val="24"/>
          <w:szCs w:val="24"/>
        </w:rPr>
        <w:t xml:space="preserve"> case, the </w:t>
      </w:r>
      <w:proofErr w:type="spellStart"/>
      <w:r w:rsidRPr="005419B6">
        <w:rPr>
          <w:sz w:val="24"/>
          <w:szCs w:val="24"/>
        </w:rPr>
        <w:t>The</w:t>
      </w:r>
      <w:proofErr w:type="spellEnd"/>
      <w:r w:rsidRPr="005419B6">
        <w:rPr>
          <w:sz w:val="24"/>
          <w:szCs w:val="24"/>
        </w:rPr>
        <w:t xml:space="preserve"> Superior Court has instructed that trial courts should look to the “established processes for assessing </w:t>
      </w:r>
      <w:proofErr w:type="spellStart"/>
      <w:r w:rsidRPr="005419B6">
        <w:rPr>
          <w:sz w:val="24"/>
          <w:szCs w:val="24"/>
        </w:rPr>
        <w:t>indigency</w:t>
      </w:r>
      <w:proofErr w:type="spellEnd"/>
      <w:r w:rsidRPr="005419B6">
        <w:rPr>
          <w:sz w:val="24"/>
          <w:szCs w:val="24"/>
        </w:rPr>
        <w:t xml:space="preserve">” through the in forma </w:t>
      </w:r>
      <w:proofErr w:type="spellStart"/>
      <w:r w:rsidRPr="005419B6">
        <w:rPr>
          <w:sz w:val="24"/>
          <w:szCs w:val="24"/>
        </w:rPr>
        <w:t>pauperis</w:t>
      </w:r>
      <w:proofErr w:type="spellEnd"/>
      <w:r w:rsidRPr="005419B6">
        <w:rPr>
          <w:sz w:val="24"/>
          <w:szCs w:val="24"/>
        </w:rPr>
        <w:t xml:space="preserve"> (“IFP”) standards when determining whether certain costs should be waived in criminal cases. </w:t>
      </w:r>
      <w:r w:rsidRPr="005419B6">
        <w:rPr>
          <w:i/>
          <w:sz w:val="24"/>
          <w:szCs w:val="24"/>
        </w:rPr>
        <w:t>Commonwealth v. Cannon</w:t>
      </w:r>
      <w:r w:rsidRPr="005419B6">
        <w:rPr>
          <w:sz w:val="24"/>
          <w:szCs w:val="24"/>
        </w:rPr>
        <w:t xml:space="preserve">, 954 A.2d 1222, 1226 (Pa. Super. Ct. 2008) (using the IFP standards and the appointment of counsel standards to determine whether to waive the cost of an expert in a criminal case, although the defendant failed to provide evidence of </w:t>
      </w:r>
      <w:proofErr w:type="spellStart"/>
      <w:r w:rsidRPr="005419B6">
        <w:rPr>
          <w:sz w:val="24"/>
          <w:szCs w:val="24"/>
        </w:rPr>
        <w:t>indigency</w:t>
      </w:r>
      <w:proofErr w:type="spellEnd"/>
      <w:r w:rsidRPr="005419B6">
        <w:rPr>
          <w:sz w:val="24"/>
          <w:szCs w:val="24"/>
        </w:rPr>
        <w:t>)</w:t>
      </w:r>
      <w:r w:rsidRPr="005419B6">
        <w:rPr>
          <w:i/>
          <w:sz w:val="24"/>
          <w:szCs w:val="24"/>
        </w:rPr>
        <w:t>; see also Commonwealth v. Mead</w:t>
      </w:r>
      <w:r w:rsidRPr="005419B6">
        <w:rPr>
          <w:sz w:val="24"/>
          <w:szCs w:val="24"/>
        </w:rPr>
        <w:t xml:space="preserve">, 446 A.2d 971, 974 (Pa. Super. Ct. 1982) (reviewing IFP application and petition for appointment of counsel to help determine financial status when setting a fine). This is because of the </w:t>
      </w:r>
      <w:r w:rsidRPr="005419B6">
        <w:rPr>
          <w:rFonts w:eastAsia="Times New Roman" w:cs="Times New Roman"/>
          <w:sz w:val="24"/>
          <w:szCs w:val="24"/>
        </w:rPr>
        <w:t xml:space="preserve">“dearth of case law” in criminal cases, compared with the “well-established principles governing </w:t>
      </w:r>
      <w:proofErr w:type="spellStart"/>
      <w:r w:rsidRPr="005419B6">
        <w:rPr>
          <w:rFonts w:eastAsia="Times New Roman" w:cs="Times New Roman"/>
          <w:sz w:val="24"/>
          <w:szCs w:val="24"/>
        </w:rPr>
        <w:t>indigency</w:t>
      </w:r>
      <w:proofErr w:type="spellEnd"/>
      <w:r w:rsidRPr="005419B6">
        <w:rPr>
          <w:rFonts w:eastAsia="Times New Roman" w:cs="Times New Roman"/>
          <w:sz w:val="24"/>
          <w:szCs w:val="24"/>
        </w:rPr>
        <w:t xml:space="preserve"> in civil cases.” </w:t>
      </w:r>
      <w:r w:rsidRPr="005419B6">
        <w:rPr>
          <w:rFonts w:eastAsia="Times New Roman" w:cs="Times New Roman"/>
          <w:i/>
          <w:sz w:val="24"/>
          <w:szCs w:val="24"/>
        </w:rPr>
        <w:t xml:space="preserve">Commonwealth v. </w:t>
      </w:r>
      <w:proofErr w:type="spellStart"/>
      <w:r w:rsidRPr="005419B6">
        <w:rPr>
          <w:rFonts w:eastAsia="Times New Roman" w:cs="Times New Roman"/>
          <w:i/>
          <w:sz w:val="24"/>
          <w:szCs w:val="24"/>
        </w:rPr>
        <w:t>Lepre</w:t>
      </w:r>
      <w:proofErr w:type="spellEnd"/>
      <w:r w:rsidRPr="005419B6">
        <w:rPr>
          <w:rFonts w:eastAsia="Times New Roman" w:cs="Times New Roman"/>
          <w:sz w:val="24"/>
          <w:szCs w:val="24"/>
        </w:rPr>
        <w:t xml:space="preserve">, 18 A.3d 1225, 1226 (Pa. Super. Ct. 2011) (applying IFP standards to waive appeal costs). These same principles should be used to determine whether a defendant is able to pay under Rule 706, as indigence is indigence.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8FFB2" w14:textId="77777777" w:rsidR="000C6E3E" w:rsidRDefault="000C6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81D3C" w14:textId="77777777" w:rsidR="000C6E3E" w:rsidRDefault="000C6E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4D6DE" w14:textId="77777777" w:rsidR="000C6E3E" w:rsidRDefault="000C6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7AA1"/>
    <w:multiLevelType w:val="hybridMultilevel"/>
    <w:tmpl w:val="F68E6654"/>
    <w:lvl w:ilvl="0" w:tplc="207A33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E53FE"/>
    <w:multiLevelType w:val="hybridMultilevel"/>
    <w:tmpl w:val="4856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4152F"/>
    <w:multiLevelType w:val="hybridMultilevel"/>
    <w:tmpl w:val="FB56B398"/>
    <w:lvl w:ilvl="0" w:tplc="32928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F7705"/>
    <w:multiLevelType w:val="hybridMultilevel"/>
    <w:tmpl w:val="6B16ABF4"/>
    <w:lvl w:ilvl="0" w:tplc="548ABF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C30D7"/>
    <w:multiLevelType w:val="multilevel"/>
    <w:tmpl w:val="B58C5D1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5" w15:restartNumberingAfterBreak="0">
    <w:nsid w:val="67A15919"/>
    <w:multiLevelType w:val="hybridMultilevel"/>
    <w:tmpl w:val="65E2F398"/>
    <w:lvl w:ilvl="0" w:tplc="76A057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w15:presenceInfo w15:providerId="Windows Live" w15:userId="69fb4f3a47d905f0"/>
  </w15:person>
  <w15:person w15:author="Andrew [2]">
    <w15:presenceInfo w15:providerId="None" w15:userId="Andr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35"/>
    <w:rsid w:val="000049A5"/>
    <w:rsid w:val="00084060"/>
    <w:rsid w:val="00090565"/>
    <w:rsid w:val="000A2E5B"/>
    <w:rsid w:val="000A3E00"/>
    <w:rsid w:val="000C6E3E"/>
    <w:rsid w:val="000D4747"/>
    <w:rsid w:val="001017D1"/>
    <w:rsid w:val="00120008"/>
    <w:rsid w:val="0012479F"/>
    <w:rsid w:val="00144746"/>
    <w:rsid w:val="00186558"/>
    <w:rsid w:val="001A657C"/>
    <w:rsid w:val="001A66CC"/>
    <w:rsid w:val="001F2FAC"/>
    <w:rsid w:val="002056DA"/>
    <w:rsid w:val="00227022"/>
    <w:rsid w:val="00257A74"/>
    <w:rsid w:val="0027759B"/>
    <w:rsid w:val="00280243"/>
    <w:rsid w:val="002E2198"/>
    <w:rsid w:val="002E496F"/>
    <w:rsid w:val="002F2438"/>
    <w:rsid w:val="003352AA"/>
    <w:rsid w:val="00367F1B"/>
    <w:rsid w:val="003929CE"/>
    <w:rsid w:val="003A34CD"/>
    <w:rsid w:val="003B4B3F"/>
    <w:rsid w:val="003E35C1"/>
    <w:rsid w:val="004300AE"/>
    <w:rsid w:val="00454A5D"/>
    <w:rsid w:val="004E7D34"/>
    <w:rsid w:val="0050240A"/>
    <w:rsid w:val="00516FF0"/>
    <w:rsid w:val="005419B6"/>
    <w:rsid w:val="005729B4"/>
    <w:rsid w:val="00585F3C"/>
    <w:rsid w:val="005A3555"/>
    <w:rsid w:val="00610056"/>
    <w:rsid w:val="006D55C2"/>
    <w:rsid w:val="006F06A5"/>
    <w:rsid w:val="006F426C"/>
    <w:rsid w:val="007058DB"/>
    <w:rsid w:val="00715AF5"/>
    <w:rsid w:val="00743725"/>
    <w:rsid w:val="0075381B"/>
    <w:rsid w:val="007800A6"/>
    <w:rsid w:val="00782680"/>
    <w:rsid w:val="007C1A75"/>
    <w:rsid w:val="00807101"/>
    <w:rsid w:val="008336FD"/>
    <w:rsid w:val="00844EB6"/>
    <w:rsid w:val="008F3DBC"/>
    <w:rsid w:val="00941535"/>
    <w:rsid w:val="00950307"/>
    <w:rsid w:val="00950A22"/>
    <w:rsid w:val="00965319"/>
    <w:rsid w:val="009C6290"/>
    <w:rsid w:val="00A024FF"/>
    <w:rsid w:val="00A056EB"/>
    <w:rsid w:val="00A15AF2"/>
    <w:rsid w:val="00A61B5D"/>
    <w:rsid w:val="00A954D4"/>
    <w:rsid w:val="00AC1EEB"/>
    <w:rsid w:val="00B540FD"/>
    <w:rsid w:val="00B700C6"/>
    <w:rsid w:val="00BC721E"/>
    <w:rsid w:val="00BE4C24"/>
    <w:rsid w:val="00BE6D9C"/>
    <w:rsid w:val="00BF09BB"/>
    <w:rsid w:val="00BF3FEB"/>
    <w:rsid w:val="00C16A53"/>
    <w:rsid w:val="00C31B03"/>
    <w:rsid w:val="00C621F0"/>
    <w:rsid w:val="00C80A79"/>
    <w:rsid w:val="00C87724"/>
    <w:rsid w:val="00CB0FF9"/>
    <w:rsid w:val="00CC2635"/>
    <w:rsid w:val="00CF0E31"/>
    <w:rsid w:val="00DD03B3"/>
    <w:rsid w:val="00E00EC6"/>
    <w:rsid w:val="00E70C56"/>
    <w:rsid w:val="00E718C5"/>
    <w:rsid w:val="00E97522"/>
    <w:rsid w:val="00F60E58"/>
    <w:rsid w:val="00FA2F24"/>
    <w:rsid w:val="00FB4702"/>
    <w:rsid w:val="00FC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69BB"/>
  <w15:chartTrackingRefBased/>
  <w15:docId w15:val="{B0A911B1-B469-4DF9-AE95-977A521E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74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746"/>
    <w:pPr>
      <w:ind w:left="720"/>
      <w:contextualSpacing/>
    </w:pPr>
  </w:style>
  <w:style w:type="paragraph" w:styleId="FootnoteText">
    <w:name w:val="footnote text"/>
    <w:basedOn w:val="Normal"/>
    <w:link w:val="FootnoteTextChar"/>
    <w:uiPriority w:val="99"/>
    <w:unhideWhenUsed/>
    <w:rsid w:val="00144746"/>
    <w:pPr>
      <w:widowControl/>
      <w:autoSpaceDE/>
      <w:autoSpaceDN/>
      <w:adjustRightInd/>
      <w:contextualSpacing/>
    </w:pPr>
    <w:rPr>
      <w:rFonts w:eastAsiaTheme="minorHAnsi" w:cstheme="minorBidi"/>
    </w:rPr>
  </w:style>
  <w:style w:type="character" w:customStyle="1" w:styleId="FootnoteTextChar">
    <w:name w:val="Footnote Text Char"/>
    <w:basedOn w:val="DefaultParagraphFont"/>
    <w:link w:val="FootnoteText"/>
    <w:uiPriority w:val="99"/>
    <w:rsid w:val="00144746"/>
    <w:rPr>
      <w:rFonts w:ascii="Times New Roman" w:hAnsi="Times New Roman"/>
      <w:sz w:val="20"/>
      <w:szCs w:val="20"/>
    </w:rPr>
  </w:style>
  <w:style w:type="character" w:styleId="FootnoteReference">
    <w:name w:val="footnote reference"/>
    <w:basedOn w:val="DefaultParagraphFont"/>
    <w:uiPriority w:val="99"/>
    <w:semiHidden/>
    <w:unhideWhenUsed/>
    <w:rsid w:val="00144746"/>
    <w:rPr>
      <w:vertAlign w:val="superscript"/>
    </w:rPr>
  </w:style>
  <w:style w:type="character" w:styleId="CommentReference">
    <w:name w:val="annotation reference"/>
    <w:basedOn w:val="DefaultParagraphFont"/>
    <w:uiPriority w:val="99"/>
    <w:semiHidden/>
    <w:unhideWhenUsed/>
    <w:rsid w:val="00C621F0"/>
    <w:rPr>
      <w:sz w:val="16"/>
      <w:szCs w:val="16"/>
    </w:rPr>
  </w:style>
  <w:style w:type="paragraph" w:styleId="CommentText">
    <w:name w:val="annotation text"/>
    <w:basedOn w:val="Normal"/>
    <w:link w:val="CommentTextChar"/>
    <w:uiPriority w:val="99"/>
    <w:semiHidden/>
    <w:unhideWhenUsed/>
    <w:rsid w:val="00C621F0"/>
  </w:style>
  <w:style w:type="character" w:customStyle="1" w:styleId="CommentTextChar">
    <w:name w:val="Comment Text Char"/>
    <w:basedOn w:val="DefaultParagraphFont"/>
    <w:link w:val="CommentText"/>
    <w:uiPriority w:val="99"/>
    <w:semiHidden/>
    <w:rsid w:val="00C621F0"/>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21F0"/>
    <w:rPr>
      <w:b/>
      <w:bCs/>
    </w:rPr>
  </w:style>
  <w:style w:type="character" w:customStyle="1" w:styleId="CommentSubjectChar">
    <w:name w:val="Comment Subject Char"/>
    <w:basedOn w:val="CommentTextChar"/>
    <w:link w:val="CommentSubject"/>
    <w:uiPriority w:val="99"/>
    <w:semiHidden/>
    <w:rsid w:val="00C621F0"/>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C62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1F0"/>
    <w:rPr>
      <w:rFonts w:ascii="Segoe UI" w:eastAsiaTheme="minorEastAsia" w:hAnsi="Segoe UI" w:cs="Segoe UI"/>
      <w:sz w:val="18"/>
      <w:szCs w:val="18"/>
    </w:rPr>
  </w:style>
  <w:style w:type="paragraph" w:customStyle="1" w:styleId="Level1">
    <w:name w:val="Level 1"/>
    <w:uiPriority w:val="99"/>
    <w:rsid w:val="00F60E58"/>
    <w:pPr>
      <w:widowControl w:val="0"/>
      <w:autoSpaceDE w:val="0"/>
      <w:autoSpaceDN w:val="0"/>
      <w:adjustRightInd w:val="0"/>
      <w:spacing w:after="0" w:line="240" w:lineRule="auto"/>
      <w:ind w:left="720"/>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C6E3E"/>
    <w:pPr>
      <w:tabs>
        <w:tab w:val="center" w:pos="4680"/>
        <w:tab w:val="right" w:pos="9360"/>
      </w:tabs>
    </w:pPr>
  </w:style>
  <w:style w:type="character" w:customStyle="1" w:styleId="HeaderChar">
    <w:name w:val="Header Char"/>
    <w:basedOn w:val="DefaultParagraphFont"/>
    <w:link w:val="Header"/>
    <w:uiPriority w:val="99"/>
    <w:rsid w:val="000C6E3E"/>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0C6E3E"/>
    <w:pPr>
      <w:tabs>
        <w:tab w:val="center" w:pos="4680"/>
        <w:tab w:val="right" w:pos="9360"/>
      </w:tabs>
    </w:pPr>
  </w:style>
  <w:style w:type="character" w:customStyle="1" w:styleId="FooterChar">
    <w:name w:val="Footer Char"/>
    <w:basedOn w:val="DefaultParagraphFont"/>
    <w:link w:val="Footer"/>
    <w:uiPriority w:val="99"/>
    <w:rsid w:val="000C6E3E"/>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4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Christy</dc:creator>
  <cp:keywords/>
  <dc:description/>
  <cp:lastModifiedBy>Andrew</cp:lastModifiedBy>
  <cp:revision>39</cp:revision>
  <cp:lastPrinted>2018-03-14T17:19:00Z</cp:lastPrinted>
  <dcterms:created xsi:type="dcterms:W3CDTF">2018-08-16T19:12:00Z</dcterms:created>
  <dcterms:modified xsi:type="dcterms:W3CDTF">2021-03-25T15:49:00Z</dcterms:modified>
</cp:coreProperties>
</file>