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2471" w14:textId="77777777" w:rsidR="00144746" w:rsidRPr="001D684D" w:rsidRDefault="00144746" w:rsidP="00144746">
      <w:pPr>
        <w:jc w:val="center"/>
        <w:outlineLvl w:val="0"/>
        <w:rPr>
          <w:b/>
          <w:bCs/>
          <w:sz w:val="24"/>
          <w:szCs w:val="24"/>
        </w:rPr>
      </w:pPr>
      <w:r w:rsidRPr="001D684D">
        <w:rPr>
          <w:sz w:val="24"/>
          <w:szCs w:val="24"/>
          <w:lang w:val="en-CA"/>
        </w:rPr>
        <w:fldChar w:fldCharType="begin"/>
      </w:r>
      <w:r w:rsidRPr="001D684D">
        <w:rPr>
          <w:sz w:val="24"/>
          <w:szCs w:val="24"/>
          <w:lang w:val="en-CA"/>
        </w:rPr>
        <w:instrText xml:space="preserve"> SEQ CHAPTER \h \r 1</w:instrText>
      </w:r>
      <w:r w:rsidRPr="001D684D">
        <w:rPr>
          <w:sz w:val="24"/>
          <w:szCs w:val="24"/>
          <w:lang w:val="en-CA"/>
        </w:rPr>
        <w:fldChar w:fldCharType="end"/>
      </w:r>
      <w:r w:rsidRPr="001D684D">
        <w:rPr>
          <w:b/>
          <w:bCs/>
          <w:sz w:val="24"/>
          <w:szCs w:val="24"/>
        </w:rPr>
        <w:t xml:space="preserve">IN THE COURT OF COMMON PLEAS </w:t>
      </w:r>
      <w:r w:rsidR="00946BF9" w:rsidRPr="001D684D">
        <w:rPr>
          <w:b/>
          <w:bCs/>
          <w:sz w:val="24"/>
          <w:szCs w:val="24"/>
        </w:rPr>
        <w:t xml:space="preserve">OF </w:t>
      </w:r>
      <w:r w:rsidR="006F47B4" w:rsidRPr="008A23F7">
        <w:rPr>
          <w:b/>
          <w:bCs/>
          <w:color w:val="FF0000"/>
          <w:sz w:val="24"/>
          <w:szCs w:val="24"/>
        </w:rPr>
        <w:t>MONTGOMERY</w:t>
      </w:r>
      <w:r w:rsidRPr="008A23F7">
        <w:rPr>
          <w:b/>
          <w:bCs/>
          <w:color w:val="FF0000"/>
          <w:sz w:val="24"/>
          <w:szCs w:val="24"/>
        </w:rPr>
        <w:t xml:space="preserve"> COUNTY</w:t>
      </w:r>
      <w:r w:rsidR="006F47B4" w:rsidRPr="001D684D">
        <w:rPr>
          <w:b/>
          <w:bCs/>
          <w:sz w:val="24"/>
          <w:szCs w:val="24"/>
        </w:rPr>
        <w:t>,</w:t>
      </w:r>
    </w:p>
    <w:p w14:paraId="3018F2D9" w14:textId="77777777" w:rsidR="00144746" w:rsidRPr="001D684D" w:rsidRDefault="00144746" w:rsidP="00144746">
      <w:pPr>
        <w:jc w:val="center"/>
        <w:outlineLvl w:val="0"/>
        <w:rPr>
          <w:b/>
          <w:bCs/>
          <w:sz w:val="24"/>
          <w:szCs w:val="24"/>
        </w:rPr>
      </w:pPr>
      <w:r w:rsidRPr="001D684D">
        <w:rPr>
          <w:b/>
          <w:bCs/>
          <w:sz w:val="24"/>
          <w:szCs w:val="24"/>
        </w:rPr>
        <w:t>PENNSYLVANIA</w:t>
      </w:r>
      <w:r w:rsidR="006F47B4" w:rsidRPr="001D684D">
        <w:rPr>
          <w:b/>
          <w:bCs/>
          <w:sz w:val="24"/>
          <w:szCs w:val="24"/>
        </w:rPr>
        <w:t>, CRIMINAL DIVISION</w:t>
      </w:r>
    </w:p>
    <w:p w14:paraId="48292E12" w14:textId="77777777" w:rsidR="00144746" w:rsidRPr="001D684D" w:rsidRDefault="00144746" w:rsidP="00144746">
      <w:pPr>
        <w:rPr>
          <w:b/>
          <w:bCs/>
          <w:sz w:val="24"/>
          <w:szCs w:val="24"/>
        </w:rPr>
      </w:pPr>
    </w:p>
    <w:p w14:paraId="6ED94E10" w14:textId="77777777" w:rsidR="00144746" w:rsidRPr="001D684D" w:rsidRDefault="00144746" w:rsidP="00FF2A66">
      <w:pPr>
        <w:tabs>
          <w:tab w:val="left" w:pos="720"/>
          <w:tab w:val="left" w:pos="1440"/>
          <w:tab w:val="left" w:pos="2160"/>
          <w:tab w:val="left" w:pos="2880"/>
          <w:tab w:val="left" w:pos="3600"/>
          <w:tab w:val="left" w:pos="4320"/>
          <w:tab w:val="left" w:pos="5040"/>
          <w:tab w:val="left" w:pos="6405"/>
        </w:tabs>
        <w:rPr>
          <w:b/>
          <w:bCs/>
          <w:sz w:val="24"/>
          <w:szCs w:val="24"/>
        </w:rPr>
      </w:pPr>
      <w:r w:rsidRPr="001D684D">
        <w:rPr>
          <w:b/>
          <w:bCs/>
          <w:sz w:val="24"/>
          <w:szCs w:val="24"/>
        </w:rPr>
        <w:t>COMMONWEALTH OF PENNSYLVANIA</w:t>
      </w:r>
      <w:r w:rsidRPr="001D684D">
        <w:rPr>
          <w:b/>
          <w:bCs/>
          <w:sz w:val="24"/>
          <w:szCs w:val="24"/>
        </w:rPr>
        <w:tab/>
        <w:t>:</w:t>
      </w:r>
      <w:r w:rsidR="00FF2A66" w:rsidRPr="001D684D">
        <w:rPr>
          <w:b/>
          <w:bCs/>
          <w:sz w:val="24"/>
          <w:szCs w:val="24"/>
        </w:rPr>
        <w:tab/>
      </w:r>
      <w:r w:rsidR="00FF2A66" w:rsidRPr="001D684D">
        <w:rPr>
          <w:b/>
          <w:bCs/>
          <w:sz w:val="24"/>
          <w:szCs w:val="24"/>
        </w:rPr>
        <w:tab/>
      </w:r>
    </w:p>
    <w:p w14:paraId="2194C0BD" w14:textId="77777777" w:rsidR="00144746" w:rsidRPr="001D684D" w:rsidRDefault="00144746" w:rsidP="00FF2A66">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r>
      <w:r w:rsidR="00FF2A66" w:rsidRPr="001D684D">
        <w:rPr>
          <w:b/>
          <w:bCs/>
          <w:sz w:val="24"/>
          <w:szCs w:val="24"/>
        </w:rPr>
        <w:tab/>
      </w:r>
      <w:r w:rsidR="00FF2A66" w:rsidRPr="001D684D">
        <w:rPr>
          <w:b/>
          <w:bCs/>
          <w:sz w:val="24"/>
          <w:szCs w:val="24"/>
        </w:rPr>
        <w:tab/>
      </w:r>
    </w:p>
    <w:p w14:paraId="62B2CF20" w14:textId="77777777" w:rsidR="00144746" w:rsidRPr="001D684D" w:rsidRDefault="00144746" w:rsidP="00FF2A66">
      <w:pPr>
        <w:tabs>
          <w:tab w:val="left" w:pos="720"/>
          <w:tab w:val="left" w:pos="1440"/>
          <w:tab w:val="left" w:pos="2160"/>
          <w:tab w:val="left" w:pos="2880"/>
          <w:tab w:val="left" w:pos="3600"/>
          <w:tab w:val="left" w:pos="4320"/>
          <w:tab w:val="left" w:pos="5040"/>
          <w:tab w:val="left" w:pos="6405"/>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00FF2A66" w:rsidRPr="001D684D">
        <w:rPr>
          <w:b/>
          <w:bCs/>
          <w:sz w:val="24"/>
          <w:szCs w:val="24"/>
        </w:rPr>
        <w:tab/>
      </w:r>
      <w:r w:rsidR="00FF2A66" w:rsidRPr="001D684D">
        <w:rPr>
          <w:b/>
          <w:bCs/>
          <w:sz w:val="24"/>
          <w:szCs w:val="24"/>
        </w:rPr>
        <w:tab/>
      </w:r>
    </w:p>
    <w:p w14:paraId="00C0EEDF" w14:textId="77777777" w:rsidR="00144746" w:rsidRPr="001D684D" w:rsidRDefault="00FF2A66" w:rsidP="00144746">
      <w:pPr>
        <w:rPr>
          <w:b/>
          <w:bCs/>
          <w:sz w:val="24"/>
          <w:szCs w:val="24"/>
        </w:rPr>
      </w:pPr>
      <w:r w:rsidRPr="001D684D">
        <w:rPr>
          <w:b/>
          <w:bCs/>
          <w:sz w:val="24"/>
          <w:szCs w:val="24"/>
        </w:rPr>
        <w:tab/>
        <w:t>v.</w:t>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 xml:space="preserve">: </w:t>
      </w:r>
      <w:r w:rsidRPr="001D684D">
        <w:rPr>
          <w:b/>
          <w:bCs/>
          <w:sz w:val="24"/>
          <w:szCs w:val="24"/>
        </w:rPr>
        <w:tab/>
        <w:t xml:space="preserve">No.     </w:t>
      </w:r>
      <w:r w:rsidRPr="001D684D">
        <w:rPr>
          <w:b/>
          <w:bCs/>
          <w:sz w:val="24"/>
          <w:szCs w:val="24"/>
        </w:rPr>
        <w:tab/>
      </w:r>
      <w:bookmarkStart w:id="0" w:name="OLE_LINK3"/>
      <w:bookmarkStart w:id="1" w:name="OLE_LINK4"/>
      <w:r w:rsidRPr="008A23F7">
        <w:rPr>
          <w:b/>
          <w:color w:val="FF0000"/>
          <w:sz w:val="24"/>
          <w:szCs w:val="24"/>
        </w:rPr>
        <w:t>CP-</w:t>
      </w:r>
      <w:r w:rsidR="006F47B4" w:rsidRPr="008A23F7">
        <w:rPr>
          <w:b/>
          <w:color w:val="FF0000"/>
          <w:sz w:val="24"/>
          <w:szCs w:val="24"/>
        </w:rPr>
        <w:t>46-</w:t>
      </w:r>
      <w:r w:rsidR="009864F3" w:rsidRPr="008A23F7">
        <w:rPr>
          <w:b/>
          <w:color w:val="FF0000"/>
          <w:sz w:val="24"/>
          <w:szCs w:val="24"/>
        </w:rPr>
        <w:t>CR-</w:t>
      </w:r>
      <w:bookmarkEnd w:id="0"/>
      <w:bookmarkEnd w:id="1"/>
    </w:p>
    <w:p w14:paraId="0498983D" w14:textId="77777777" w:rsidR="00144746" w:rsidRPr="001D684D" w:rsidRDefault="00FF2A66" w:rsidP="00144746">
      <w:pPr>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t xml:space="preserve">           </w:t>
      </w:r>
    </w:p>
    <w:p w14:paraId="6D150A9D" w14:textId="77777777" w:rsidR="00144746" w:rsidRPr="001D684D" w:rsidRDefault="00144746" w:rsidP="00144746">
      <w:pPr>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t xml:space="preserve">        </w:t>
      </w:r>
      <w:r w:rsidRPr="001D684D">
        <w:rPr>
          <w:b/>
          <w:bCs/>
          <w:sz w:val="24"/>
          <w:szCs w:val="24"/>
        </w:rPr>
        <w:tab/>
      </w:r>
    </w:p>
    <w:p w14:paraId="5B45260C" w14:textId="77777777" w:rsidR="00144746" w:rsidRPr="001D684D" w:rsidRDefault="00ED5560" w:rsidP="00FF2A66">
      <w:pPr>
        <w:tabs>
          <w:tab w:val="left" w:pos="720"/>
          <w:tab w:val="left" w:pos="1440"/>
          <w:tab w:val="left" w:pos="2160"/>
          <w:tab w:val="left" w:pos="2880"/>
          <w:tab w:val="left" w:pos="3600"/>
          <w:tab w:val="left" w:pos="4320"/>
          <w:tab w:val="left" w:pos="5040"/>
        </w:tabs>
        <w:rPr>
          <w:b/>
          <w:bCs/>
          <w:sz w:val="24"/>
          <w:szCs w:val="24"/>
        </w:rPr>
      </w:pPr>
      <w:r w:rsidRPr="00ED5560">
        <w:rPr>
          <w:b/>
          <w:bCs/>
          <w:color w:val="FF0000"/>
          <w:sz w:val="24"/>
          <w:szCs w:val="24"/>
        </w:rPr>
        <w:t>Jane Doe</w:t>
      </w:r>
      <w:r>
        <w:rPr>
          <w:b/>
          <w:bCs/>
          <w:sz w:val="24"/>
          <w:szCs w:val="24"/>
        </w:rPr>
        <w:tab/>
      </w:r>
      <w:r>
        <w:rPr>
          <w:b/>
          <w:bCs/>
          <w:sz w:val="24"/>
          <w:szCs w:val="24"/>
        </w:rPr>
        <w:tab/>
      </w:r>
      <w:r w:rsidR="00EC26B4" w:rsidRPr="001D684D">
        <w:rPr>
          <w:b/>
          <w:bCs/>
          <w:sz w:val="24"/>
          <w:szCs w:val="24"/>
        </w:rPr>
        <w:tab/>
      </w:r>
      <w:r w:rsidR="00A61B5D" w:rsidRPr="001D684D">
        <w:rPr>
          <w:b/>
          <w:bCs/>
          <w:sz w:val="24"/>
          <w:szCs w:val="24"/>
        </w:rPr>
        <w:tab/>
      </w:r>
      <w:r w:rsidR="00A61B5D" w:rsidRPr="001D684D">
        <w:rPr>
          <w:b/>
          <w:bCs/>
          <w:sz w:val="24"/>
          <w:szCs w:val="24"/>
        </w:rPr>
        <w:tab/>
      </w:r>
      <w:r w:rsidR="00A61B5D" w:rsidRPr="001D684D">
        <w:rPr>
          <w:b/>
          <w:bCs/>
          <w:sz w:val="24"/>
          <w:szCs w:val="24"/>
        </w:rPr>
        <w:tab/>
      </w:r>
      <w:r w:rsidR="00144746" w:rsidRPr="001D684D">
        <w:rPr>
          <w:b/>
          <w:bCs/>
          <w:sz w:val="24"/>
          <w:szCs w:val="24"/>
        </w:rPr>
        <w:t xml:space="preserve">:                   </w:t>
      </w:r>
      <w:r w:rsidR="00FF2A66" w:rsidRPr="001D684D">
        <w:rPr>
          <w:b/>
          <w:bCs/>
          <w:sz w:val="24"/>
          <w:szCs w:val="24"/>
        </w:rPr>
        <w:tab/>
      </w:r>
    </w:p>
    <w:p w14:paraId="06D18270" w14:textId="77777777" w:rsidR="00144746" w:rsidRPr="001D684D" w:rsidRDefault="00FF2A66" w:rsidP="00FF2A66">
      <w:pPr>
        <w:tabs>
          <w:tab w:val="left" w:pos="720"/>
          <w:tab w:val="left" w:pos="1440"/>
          <w:tab w:val="left" w:pos="2160"/>
          <w:tab w:val="left" w:pos="2880"/>
          <w:tab w:val="left" w:pos="3600"/>
          <w:tab w:val="left" w:pos="4320"/>
          <w:tab w:val="left" w:pos="5040"/>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r>
      <w:r w:rsidRPr="001D684D">
        <w:rPr>
          <w:b/>
          <w:bCs/>
          <w:sz w:val="24"/>
          <w:szCs w:val="24"/>
        </w:rPr>
        <w:tab/>
      </w:r>
    </w:p>
    <w:p w14:paraId="2E85C1A1" w14:textId="77777777" w:rsidR="00144746" w:rsidRPr="001D684D" w:rsidRDefault="00144746" w:rsidP="00FF2A66">
      <w:pPr>
        <w:rPr>
          <w:b/>
          <w:bCs/>
          <w:sz w:val="24"/>
          <w:szCs w:val="24"/>
        </w:rPr>
      </w:pPr>
      <w:r w:rsidRPr="001D684D">
        <w:rPr>
          <w:b/>
          <w:bCs/>
          <w:sz w:val="24"/>
          <w:szCs w:val="24"/>
        </w:rPr>
        <w:t>____________</w:t>
      </w:r>
      <w:r w:rsidR="00FF2A66" w:rsidRPr="001D684D">
        <w:rPr>
          <w:b/>
          <w:bCs/>
          <w:sz w:val="24"/>
          <w:szCs w:val="24"/>
        </w:rPr>
        <w:t>______________________________:</w:t>
      </w:r>
      <w:r w:rsidR="00FF2A66" w:rsidRPr="001D684D">
        <w:rPr>
          <w:b/>
          <w:bCs/>
          <w:sz w:val="24"/>
          <w:szCs w:val="24"/>
        </w:rPr>
        <w:tab/>
      </w:r>
      <w:r w:rsidR="00FF2A66" w:rsidRPr="001D684D">
        <w:rPr>
          <w:b/>
          <w:bCs/>
          <w:sz w:val="24"/>
          <w:szCs w:val="24"/>
        </w:rPr>
        <w:tab/>
      </w:r>
    </w:p>
    <w:p w14:paraId="5C620724" w14:textId="77777777" w:rsidR="00144746" w:rsidRPr="001D684D" w:rsidRDefault="00144746" w:rsidP="00144746">
      <w:pPr>
        <w:tabs>
          <w:tab w:val="left" w:pos="6825"/>
        </w:tabs>
        <w:rPr>
          <w:sz w:val="24"/>
          <w:szCs w:val="24"/>
        </w:rPr>
      </w:pPr>
      <w:r w:rsidRPr="001D684D">
        <w:rPr>
          <w:sz w:val="24"/>
          <w:szCs w:val="24"/>
        </w:rPr>
        <w:tab/>
      </w:r>
    </w:p>
    <w:p w14:paraId="37B8DF1F" w14:textId="77777777" w:rsidR="00144746" w:rsidRPr="001D684D" w:rsidRDefault="00144746" w:rsidP="00144746">
      <w:pPr>
        <w:rPr>
          <w:sz w:val="24"/>
          <w:szCs w:val="24"/>
        </w:rPr>
      </w:pPr>
    </w:p>
    <w:p w14:paraId="4A548972" w14:textId="7BB75892" w:rsidR="00144746" w:rsidRPr="007579AF" w:rsidRDefault="007579AF" w:rsidP="00144746">
      <w:pPr>
        <w:jc w:val="center"/>
        <w:outlineLvl w:val="0"/>
        <w:rPr>
          <w:sz w:val="24"/>
          <w:szCs w:val="24"/>
        </w:rPr>
      </w:pPr>
      <w:r>
        <w:rPr>
          <w:b/>
          <w:bCs/>
          <w:sz w:val="24"/>
          <w:szCs w:val="24"/>
        </w:rPr>
        <w:t xml:space="preserve">MOTION </w:t>
      </w:r>
      <w:r w:rsidR="00630159">
        <w:rPr>
          <w:b/>
          <w:bCs/>
          <w:sz w:val="24"/>
          <w:szCs w:val="24"/>
        </w:rPr>
        <w:t xml:space="preserve">TO </w:t>
      </w:r>
      <w:commentRangeStart w:id="2"/>
      <w:r w:rsidR="00630159" w:rsidRPr="008A23F7">
        <w:rPr>
          <w:b/>
          <w:bCs/>
          <w:color w:val="FF0000"/>
          <w:sz w:val="24"/>
          <w:szCs w:val="24"/>
        </w:rPr>
        <w:t>WAIVE</w:t>
      </w:r>
      <w:r w:rsidR="008A23F7" w:rsidRPr="008A23F7">
        <w:rPr>
          <w:b/>
          <w:bCs/>
          <w:color w:val="FF0000"/>
          <w:sz w:val="24"/>
          <w:szCs w:val="24"/>
        </w:rPr>
        <w:t>/REDUCE</w:t>
      </w:r>
      <w:r w:rsidR="00ED5560" w:rsidRPr="008A23F7">
        <w:rPr>
          <w:b/>
          <w:bCs/>
          <w:color w:val="FF0000"/>
          <w:sz w:val="24"/>
          <w:szCs w:val="24"/>
        </w:rPr>
        <w:t xml:space="preserve"> </w:t>
      </w:r>
      <w:commentRangeEnd w:id="2"/>
      <w:r w:rsidR="008A23F7" w:rsidRPr="008A23F7">
        <w:rPr>
          <w:rStyle w:val="CommentReference"/>
          <w:color w:val="FF0000"/>
        </w:rPr>
        <w:commentReference w:id="2"/>
      </w:r>
      <w:r w:rsidR="00ED5560">
        <w:rPr>
          <w:b/>
          <w:bCs/>
          <w:sz w:val="24"/>
          <w:szCs w:val="24"/>
        </w:rPr>
        <w:t>ARD</w:t>
      </w:r>
      <w:r w:rsidR="00630159">
        <w:rPr>
          <w:b/>
          <w:bCs/>
          <w:sz w:val="24"/>
          <w:szCs w:val="24"/>
        </w:rPr>
        <w:t xml:space="preserve"> </w:t>
      </w:r>
      <w:commentRangeStart w:id="3"/>
      <w:r w:rsidR="00630159">
        <w:rPr>
          <w:b/>
          <w:bCs/>
          <w:sz w:val="24"/>
          <w:szCs w:val="24"/>
        </w:rPr>
        <w:t xml:space="preserve">COSTS </w:t>
      </w:r>
      <w:r w:rsidR="00630159" w:rsidRPr="00630159">
        <w:rPr>
          <w:b/>
          <w:bCs/>
          <w:color w:val="FF0000"/>
          <w:sz w:val="24"/>
          <w:szCs w:val="24"/>
        </w:rPr>
        <w:t>AND RESTITUTION</w:t>
      </w:r>
      <w:commentRangeEnd w:id="3"/>
      <w:r w:rsidR="00630159">
        <w:rPr>
          <w:rStyle w:val="CommentReference"/>
        </w:rPr>
        <w:commentReference w:id="3"/>
      </w:r>
    </w:p>
    <w:p w14:paraId="2829A472" w14:textId="77777777" w:rsidR="00144746" w:rsidRPr="001D684D" w:rsidRDefault="00144746" w:rsidP="00144746">
      <w:pPr>
        <w:rPr>
          <w:sz w:val="24"/>
          <w:szCs w:val="24"/>
        </w:rPr>
      </w:pPr>
    </w:p>
    <w:p w14:paraId="60966E92" w14:textId="1F6C3AE8" w:rsidR="007579AF" w:rsidRDefault="00ED5560" w:rsidP="00ED5560">
      <w:pPr>
        <w:spacing w:line="480" w:lineRule="auto"/>
        <w:ind w:firstLine="720"/>
        <w:rPr>
          <w:sz w:val="24"/>
          <w:szCs w:val="24"/>
        </w:rPr>
      </w:pPr>
      <w:r>
        <w:rPr>
          <w:sz w:val="24"/>
          <w:szCs w:val="24"/>
        </w:rPr>
        <w:t xml:space="preserve">Defendant </w:t>
      </w:r>
      <w:r w:rsidRPr="00ED5560">
        <w:rPr>
          <w:color w:val="FF0000"/>
          <w:sz w:val="24"/>
          <w:szCs w:val="24"/>
        </w:rPr>
        <w:t>Jane Doe</w:t>
      </w:r>
      <w:r>
        <w:rPr>
          <w:sz w:val="24"/>
          <w:szCs w:val="24"/>
        </w:rPr>
        <w:t>, through counsel, requests that this Court</w:t>
      </w:r>
      <w:r w:rsidR="00630159">
        <w:rPr>
          <w:sz w:val="24"/>
          <w:szCs w:val="24"/>
        </w:rPr>
        <w:t xml:space="preserve"> waive the costs and restitution associated with </w:t>
      </w:r>
      <w:r>
        <w:rPr>
          <w:sz w:val="24"/>
          <w:szCs w:val="24"/>
        </w:rPr>
        <w:t>Rehabilitative Disposition (“ARD”),</w:t>
      </w:r>
      <w:r w:rsidR="00630159">
        <w:rPr>
          <w:sz w:val="24"/>
          <w:szCs w:val="24"/>
        </w:rPr>
        <w:t xml:space="preserve"> which Ms. Doe cannot afford and that will prevent her from completing ARD</w:t>
      </w:r>
      <w:r w:rsidR="00082EEA">
        <w:rPr>
          <w:sz w:val="24"/>
          <w:szCs w:val="24"/>
        </w:rPr>
        <w:t xml:space="preserve">. Conditioning </w:t>
      </w:r>
      <w:r w:rsidR="00832FCA">
        <w:rPr>
          <w:sz w:val="24"/>
          <w:szCs w:val="24"/>
        </w:rPr>
        <w:t>completion of</w:t>
      </w:r>
      <w:r w:rsidR="00082EEA">
        <w:rPr>
          <w:sz w:val="24"/>
          <w:szCs w:val="24"/>
        </w:rPr>
        <w:t xml:space="preserve"> ARD upon payment of sums the defendant cannot afford violates</w:t>
      </w:r>
      <w:r w:rsidR="00630159">
        <w:rPr>
          <w:sz w:val="24"/>
          <w:szCs w:val="24"/>
        </w:rPr>
        <w:t xml:space="preserve"> Pa.R.Crim.P. 316 and</w:t>
      </w:r>
      <w:r w:rsidR="00082EEA">
        <w:rPr>
          <w:sz w:val="24"/>
          <w:szCs w:val="24"/>
        </w:rPr>
        <w:t xml:space="preserve"> the holding in</w:t>
      </w:r>
      <w:r w:rsidRPr="00ED5560">
        <w:rPr>
          <w:sz w:val="24"/>
          <w:szCs w:val="24"/>
        </w:rPr>
        <w:t xml:space="preserve"> </w:t>
      </w:r>
      <w:r w:rsidRPr="00ED5560">
        <w:rPr>
          <w:i/>
          <w:sz w:val="24"/>
          <w:szCs w:val="24"/>
        </w:rPr>
        <w:t>Commonwealth v. Melnyk</w:t>
      </w:r>
      <w:r>
        <w:rPr>
          <w:sz w:val="24"/>
          <w:szCs w:val="24"/>
        </w:rPr>
        <w:t xml:space="preserve">, 548 A.2d 266 </w:t>
      </w:r>
      <w:r w:rsidRPr="00ED5560">
        <w:rPr>
          <w:sz w:val="24"/>
          <w:szCs w:val="24"/>
        </w:rPr>
        <w:t>(Pa. Super. Ct. 1988)</w:t>
      </w:r>
      <w:r>
        <w:rPr>
          <w:sz w:val="24"/>
          <w:szCs w:val="24"/>
        </w:rPr>
        <w:t xml:space="preserve">. In support of </w:t>
      </w:r>
      <w:r w:rsidR="00082EEA">
        <w:rPr>
          <w:sz w:val="24"/>
          <w:szCs w:val="24"/>
        </w:rPr>
        <w:t xml:space="preserve">this </w:t>
      </w:r>
      <w:r>
        <w:rPr>
          <w:sz w:val="24"/>
          <w:szCs w:val="24"/>
        </w:rPr>
        <w:t xml:space="preserve">Motion, Ms. </w:t>
      </w:r>
      <w:r w:rsidRPr="00ED5560">
        <w:rPr>
          <w:color w:val="FF0000"/>
          <w:sz w:val="24"/>
          <w:szCs w:val="24"/>
        </w:rPr>
        <w:t xml:space="preserve">Doe </w:t>
      </w:r>
      <w:r w:rsidR="007579AF">
        <w:rPr>
          <w:sz w:val="24"/>
          <w:szCs w:val="24"/>
        </w:rPr>
        <w:t>avers:</w:t>
      </w:r>
    </w:p>
    <w:p w14:paraId="061CC9FC" w14:textId="77777777" w:rsidR="00ED5560" w:rsidRPr="00ED5560" w:rsidRDefault="00ED5560" w:rsidP="00ED5560">
      <w:pPr>
        <w:pStyle w:val="ListParagraph"/>
        <w:numPr>
          <w:ilvl w:val="0"/>
          <w:numId w:val="13"/>
        </w:numPr>
        <w:spacing w:line="480" w:lineRule="auto"/>
        <w:jc w:val="center"/>
        <w:rPr>
          <w:b/>
          <w:sz w:val="24"/>
          <w:szCs w:val="24"/>
        </w:rPr>
      </w:pPr>
      <w:r>
        <w:rPr>
          <w:b/>
          <w:sz w:val="24"/>
          <w:szCs w:val="24"/>
        </w:rPr>
        <w:t>Background</w:t>
      </w:r>
    </w:p>
    <w:p w14:paraId="279B7084" w14:textId="379B5672"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Factual background of case.</w:t>
      </w:r>
    </w:p>
    <w:p w14:paraId="11384AD4" w14:textId="61C9D1DC"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Explain whether the court ever considered the defendant’s ability to pay costs/restitution</w:t>
      </w:r>
    </w:p>
    <w:p w14:paraId="7428B256" w14:textId="71511098"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E</w:t>
      </w:r>
      <w:r w:rsidR="00ED5560" w:rsidRPr="005A3504">
        <w:rPr>
          <w:color w:val="FF0000"/>
          <w:sz w:val="24"/>
          <w:szCs w:val="24"/>
        </w:rPr>
        <w:t xml:space="preserve">xplain in as much detail as possible why </w:t>
      </w:r>
      <w:r w:rsidRPr="005A3504">
        <w:rPr>
          <w:color w:val="FF0000"/>
          <w:sz w:val="24"/>
          <w:szCs w:val="24"/>
        </w:rPr>
        <w:t>the defendant is unable to afford to pay. What is the defendant’s income? Regular living expenses? Does she have children?</w:t>
      </w:r>
      <w:r w:rsidR="00ED5560" w:rsidRPr="005A3504">
        <w:rPr>
          <w:color w:val="FF0000"/>
          <w:sz w:val="24"/>
          <w:szCs w:val="24"/>
        </w:rPr>
        <w:t xml:space="preserve"> </w:t>
      </w:r>
      <w:r w:rsidRPr="005A3504">
        <w:rPr>
          <w:color w:val="FF0000"/>
          <w:sz w:val="24"/>
          <w:szCs w:val="24"/>
        </w:rPr>
        <w:t xml:space="preserve">Do they </w:t>
      </w:r>
      <w:r w:rsidR="00ED5560" w:rsidRPr="005A3504">
        <w:rPr>
          <w:color w:val="FF0000"/>
          <w:sz w:val="24"/>
          <w:szCs w:val="24"/>
        </w:rPr>
        <w:t xml:space="preserve">receive public assistance like food stamps, Medicaid, SSI, etc? </w:t>
      </w:r>
      <w:r w:rsidR="00082EEA">
        <w:rPr>
          <w:color w:val="FF0000"/>
          <w:sz w:val="24"/>
          <w:szCs w:val="24"/>
        </w:rPr>
        <w:t>If she is working, has she sought more hours or a second job or does she have family obligations that limit the hours she can work?</w:t>
      </w:r>
    </w:p>
    <w:p w14:paraId="02F2805E" w14:textId="453BDB6A"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 xml:space="preserve">Explain what efforts the defendant has made to make the money necessary to meet the </w:t>
      </w:r>
      <w:r w:rsidRPr="005A3504">
        <w:rPr>
          <w:color w:val="FF0000"/>
          <w:sz w:val="24"/>
          <w:szCs w:val="24"/>
        </w:rPr>
        <w:lastRenderedPageBreak/>
        <w:t>expenses associated with ARD.</w:t>
      </w:r>
      <w:r w:rsidR="00082EEA">
        <w:rPr>
          <w:color w:val="FF0000"/>
          <w:sz w:val="24"/>
          <w:szCs w:val="24"/>
        </w:rPr>
        <w:t xml:space="preserve"> Avoid talking about efforts to borrow money – the ability-to-pay determination is limited to the defendant’s means, not that of family or friends.</w:t>
      </w:r>
    </w:p>
    <w:p w14:paraId="197D6E17" w14:textId="3153EED2" w:rsidR="00897C4E" w:rsidRPr="005A3504" w:rsidRDefault="00ED5560" w:rsidP="00897C4E">
      <w:pPr>
        <w:pStyle w:val="ListParagraph"/>
        <w:numPr>
          <w:ilvl w:val="0"/>
          <w:numId w:val="9"/>
        </w:numPr>
        <w:spacing w:line="480" w:lineRule="auto"/>
        <w:rPr>
          <w:color w:val="FF0000"/>
          <w:sz w:val="24"/>
          <w:szCs w:val="24"/>
        </w:rPr>
      </w:pPr>
      <w:r w:rsidRPr="005A3504">
        <w:rPr>
          <w:color w:val="FF0000"/>
          <w:sz w:val="24"/>
          <w:szCs w:val="24"/>
        </w:rPr>
        <w:t xml:space="preserve">Make it clear that the defendant </w:t>
      </w:r>
      <w:r w:rsidR="008A23F7" w:rsidRPr="005A3504">
        <w:rPr>
          <w:color w:val="FF0000"/>
          <w:sz w:val="24"/>
          <w:szCs w:val="24"/>
        </w:rPr>
        <w:t>intends to</w:t>
      </w:r>
      <w:r w:rsidRPr="005A3504">
        <w:rPr>
          <w:color w:val="FF0000"/>
          <w:sz w:val="24"/>
          <w:szCs w:val="24"/>
        </w:rPr>
        <w:t xml:space="preserve"> comply with the program – she’ll get her evaluations, etc – she just cannot afford to pay for them. </w:t>
      </w:r>
    </w:p>
    <w:p w14:paraId="7BFDB4A5" w14:textId="6CD67505" w:rsidR="008A23F7" w:rsidRPr="00F23E63" w:rsidRDefault="008A23F7" w:rsidP="00227D07">
      <w:pPr>
        <w:pStyle w:val="ListParagraph"/>
        <w:numPr>
          <w:ilvl w:val="0"/>
          <w:numId w:val="9"/>
        </w:numPr>
        <w:spacing w:line="480" w:lineRule="auto"/>
        <w:rPr>
          <w:color w:val="FF0000"/>
          <w:sz w:val="24"/>
          <w:szCs w:val="24"/>
        </w:rPr>
      </w:pPr>
      <w:r w:rsidRPr="00F23E63">
        <w:rPr>
          <w:color w:val="FF0000"/>
          <w:sz w:val="24"/>
          <w:szCs w:val="24"/>
        </w:rPr>
        <w:t xml:space="preserve">If the defendant can afford to pay a lower amount, explain that. </w:t>
      </w:r>
      <w:r w:rsidR="003F1DEF" w:rsidRPr="00F23E63">
        <w:rPr>
          <w:color w:val="FF0000"/>
          <w:sz w:val="24"/>
          <w:szCs w:val="24"/>
        </w:rPr>
        <w:t>Also suggest possible alternatives</w:t>
      </w:r>
      <w:r w:rsidR="00F23E63" w:rsidRPr="00F23E63">
        <w:rPr>
          <w:color w:val="FF0000"/>
          <w:sz w:val="24"/>
          <w:szCs w:val="24"/>
        </w:rPr>
        <w:t xml:space="preserve"> </w:t>
      </w:r>
      <w:r w:rsidR="003F1DEF" w:rsidRPr="00F23E63">
        <w:rPr>
          <w:color w:val="FF0000"/>
          <w:sz w:val="24"/>
          <w:szCs w:val="24"/>
        </w:rPr>
        <w:t>that the defendant would be willing to do in place of payment</w:t>
      </w:r>
      <w:r w:rsidR="00082EEA">
        <w:rPr>
          <w:color w:val="FF0000"/>
          <w:sz w:val="24"/>
          <w:szCs w:val="24"/>
        </w:rPr>
        <w:t xml:space="preserve"> to demonstrate her commitment to rehabilitation</w:t>
      </w:r>
      <w:r w:rsidR="00F23E63" w:rsidRPr="00F23E63">
        <w:rPr>
          <w:color w:val="FF0000"/>
          <w:sz w:val="24"/>
          <w:szCs w:val="24"/>
        </w:rPr>
        <w:t xml:space="preserve">, such as: </w:t>
      </w:r>
      <w:r w:rsidR="003F1DEF" w:rsidRPr="00F23E63">
        <w:rPr>
          <w:color w:val="FF0000"/>
          <w:sz w:val="24"/>
          <w:szCs w:val="24"/>
        </w:rPr>
        <w:t xml:space="preserve"> </w:t>
      </w:r>
      <w:r w:rsidR="00F23E63" w:rsidRPr="00F23E63">
        <w:rPr>
          <w:color w:val="FF0000"/>
          <w:sz w:val="24"/>
          <w:szCs w:val="24"/>
        </w:rPr>
        <w:t>Community service (or additional community service, within reason), domestic abuse classes, anger management classes, drug or alcohol abuse treatment, mental health treatment, job skills training, or education courses, such as GED classes</w:t>
      </w:r>
      <w:r w:rsidR="00F23E63">
        <w:rPr>
          <w:color w:val="FF0000"/>
          <w:sz w:val="24"/>
          <w:szCs w:val="24"/>
        </w:rPr>
        <w:t>. Be careful not to overpromise</w:t>
      </w:r>
      <w:r w:rsidR="005265DE">
        <w:rPr>
          <w:color w:val="FF0000"/>
          <w:sz w:val="24"/>
          <w:szCs w:val="24"/>
        </w:rPr>
        <w:t xml:space="preserve"> and only suggest alternatives that the defendant will actually do</w:t>
      </w:r>
      <w:r w:rsidR="00F23E63">
        <w:rPr>
          <w:color w:val="FF0000"/>
          <w:sz w:val="24"/>
          <w:szCs w:val="24"/>
        </w:rPr>
        <w:t xml:space="preserve">. </w:t>
      </w:r>
    </w:p>
    <w:p w14:paraId="7BF51BE7" w14:textId="77777777" w:rsidR="00ED5560" w:rsidRDefault="00ED5560" w:rsidP="00ED5560">
      <w:pPr>
        <w:pStyle w:val="ListParagraph"/>
        <w:numPr>
          <w:ilvl w:val="0"/>
          <w:numId w:val="13"/>
        </w:numPr>
        <w:spacing w:line="480" w:lineRule="auto"/>
        <w:jc w:val="center"/>
        <w:rPr>
          <w:b/>
          <w:sz w:val="24"/>
          <w:szCs w:val="24"/>
        </w:rPr>
      </w:pPr>
      <w:r>
        <w:rPr>
          <w:b/>
          <w:sz w:val="24"/>
          <w:szCs w:val="24"/>
        </w:rPr>
        <w:t>Argument</w:t>
      </w:r>
    </w:p>
    <w:p w14:paraId="053C6BED" w14:textId="2DBB0741" w:rsidR="00DF5421" w:rsidRDefault="00DF5421" w:rsidP="00DF5421">
      <w:pPr>
        <w:pStyle w:val="ListParagraph"/>
        <w:numPr>
          <w:ilvl w:val="0"/>
          <w:numId w:val="14"/>
        </w:numPr>
        <w:rPr>
          <w:b/>
          <w:sz w:val="24"/>
          <w:szCs w:val="24"/>
        </w:rPr>
      </w:pPr>
      <w:commentRangeStart w:id="4"/>
      <w:r w:rsidRPr="00832FCA">
        <w:rPr>
          <w:b/>
          <w:color w:val="FF0000"/>
          <w:sz w:val="24"/>
          <w:szCs w:val="24"/>
        </w:rPr>
        <w:t xml:space="preserve">Indigent </w:t>
      </w:r>
      <w:commentRangeEnd w:id="4"/>
      <w:r w:rsidR="005A3504" w:rsidRPr="00832FCA">
        <w:rPr>
          <w:rStyle w:val="CommentReference"/>
          <w:color w:val="FF0000"/>
        </w:rPr>
        <w:commentReference w:id="4"/>
      </w:r>
      <w:r>
        <w:rPr>
          <w:b/>
          <w:sz w:val="24"/>
          <w:szCs w:val="24"/>
        </w:rPr>
        <w:t>defendants cannot be lawfully removed from ARD</w:t>
      </w:r>
      <w:r w:rsidR="00D659A1">
        <w:rPr>
          <w:b/>
          <w:sz w:val="24"/>
          <w:szCs w:val="24"/>
        </w:rPr>
        <w:t xml:space="preserve"> or prevented from completing ARD</w:t>
      </w:r>
      <w:r>
        <w:rPr>
          <w:b/>
          <w:sz w:val="24"/>
          <w:szCs w:val="24"/>
        </w:rPr>
        <w:t xml:space="preserve"> solely because they lack the ability to pay the </w:t>
      </w:r>
      <w:r w:rsidRPr="005A3504">
        <w:rPr>
          <w:b/>
          <w:color w:val="FF0000"/>
          <w:sz w:val="24"/>
          <w:szCs w:val="24"/>
        </w:rPr>
        <w:t>costs</w:t>
      </w:r>
      <w:r w:rsidR="005A3504">
        <w:rPr>
          <w:b/>
          <w:color w:val="FF0000"/>
          <w:sz w:val="24"/>
          <w:szCs w:val="24"/>
        </w:rPr>
        <w:t xml:space="preserve"> or restitution</w:t>
      </w:r>
      <w:r w:rsidRPr="005A3504">
        <w:rPr>
          <w:b/>
          <w:color w:val="FF0000"/>
          <w:sz w:val="24"/>
          <w:szCs w:val="24"/>
        </w:rPr>
        <w:t xml:space="preserve"> </w:t>
      </w:r>
      <w:r>
        <w:rPr>
          <w:b/>
          <w:sz w:val="24"/>
          <w:szCs w:val="24"/>
        </w:rPr>
        <w:t xml:space="preserve">associated with it. </w:t>
      </w:r>
    </w:p>
    <w:p w14:paraId="7A051213" w14:textId="77777777" w:rsidR="00DF5421" w:rsidRPr="00ED5560" w:rsidRDefault="00DF5421" w:rsidP="00DF5421">
      <w:pPr>
        <w:pStyle w:val="ListParagraph"/>
        <w:ind w:left="1440"/>
        <w:rPr>
          <w:b/>
          <w:sz w:val="24"/>
          <w:szCs w:val="24"/>
        </w:rPr>
      </w:pPr>
    </w:p>
    <w:p w14:paraId="2F935ED6" w14:textId="497F53A0" w:rsidR="00887138" w:rsidRDefault="00887138" w:rsidP="00832FCA">
      <w:pPr>
        <w:pStyle w:val="FootnoteText"/>
        <w:numPr>
          <w:ilvl w:val="0"/>
          <w:numId w:val="2"/>
        </w:numPr>
        <w:spacing w:line="480" w:lineRule="auto"/>
        <w:rPr>
          <w:sz w:val="24"/>
          <w:szCs w:val="24"/>
        </w:rPr>
      </w:pPr>
      <w:r>
        <w:rPr>
          <w:sz w:val="24"/>
          <w:szCs w:val="24"/>
        </w:rPr>
        <w:t xml:space="preserve">Defendants such as Ms. </w:t>
      </w:r>
      <w:r w:rsidRPr="00887138">
        <w:rPr>
          <w:color w:val="FF0000"/>
          <w:sz w:val="24"/>
          <w:szCs w:val="24"/>
        </w:rPr>
        <w:t>Doe</w:t>
      </w:r>
      <w:r>
        <w:rPr>
          <w:sz w:val="24"/>
          <w:szCs w:val="24"/>
        </w:rPr>
        <w:t xml:space="preserve">, who cannot afford to pay the </w:t>
      </w:r>
      <w:r w:rsidR="005A3504" w:rsidRPr="005A3504">
        <w:rPr>
          <w:color w:val="FF0000"/>
          <w:sz w:val="24"/>
          <w:szCs w:val="24"/>
        </w:rPr>
        <w:t>costs or restitution</w:t>
      </w:r>
      <w:r w:rsidRPr="005A3504">
        <w:rPr>
          <w:color w:val="FF0000"/>
          <w:sz w:val="24"/>
          <w:szCs w:val="24"/>
        </w:rPr>
        <w:t xml:space="preserve"> </w:t>
      </w:r>
      <w:r>
        <w:rPr>
          <w:sz w:val="24"/>
          <w:szCs w:val="24"/>
        </w:rPr>
        <w:t>associated with ARD, nevertheless cannot be denied the benefits of the program simply b</w:t>
      </w:r>
      <w:r w:rsidR="00F50186">
        <w:rPr>
          <w:sz w:val="24"/>
          <w:szCs w:val="24"/>
        </w:rPr>
        <w:t xml:space="preserve">ecause they are too poor to pay. Such a result limits ARD solely to those with financial means and unjustly punishes indigent defendants for being poor. </w:t>
      </w:r>
      <w:r w:rsidR="0083399C">
        <w:rPr>
          <w:sz w:val="24"/>
          <w:szCs w:val="24"/>
        </w:rPr>
        <w:t xml:space="preserve">That is unconstitutional and violates Pennsylvania law. </w:t>
      </w:r>
    </w:p>
    <w:p w14:paraId="6E31C54C" w14:textId="4889A1A4" w:rsidR="00676E93" w:rsidRPr="00832FCA" w:rsidRDefault="00676E93" w:rsidP="00832FCA">
      <w:pPr>
        <w:pStyle w:val="FootnoteText"/>
        <w:numPr>
          <w:ilvl w:val="0"/>
          <w:numId w:val="2"/>
        </w:numPr>
        <w:kinsoku w:val="0"/>
        <w:overflowPunct w:val="0"/>
        <w:spacing w:line="480" w:lineRule="auto"/>
        <w:ind w:right="98"/>
      </w:pPr>
      <w:r w:rsidRPr="00676E93">
        <w:rPr>
          <w:sz w:val="24"/>
          <w:szCs w:val="24"/>
        </w:rPr>
        <w:t>It also</w:t>
      </w:r>
      <w:r w:rsidR="00832FCA">
        <w:rPr>
          <w:sz w:val="24"/>
          <w:szCs w:val="24"/>
        </w:rPr>
        <w:t xml:space="preserve"> frustrates the “primary purpose” of ARD, which is “the rehabilitation of the offender</w:t>
      </w:r>
      <w:r w:rsidRPr="008B326F">
        <w:rPr>
          <w:sz w:val="24"/>
          <w:szCs w:val="24"/>
        </w:rPr>
        <w:t>.</w:t>
      </w:r>
      <w:r w:rsidR="00832FCA">
        <w:rPr>
          <w:sz w:val="24"/>
          <w:szCs w:val="24"/>
        </w:rPr>
        <w:t>” Pa.R.Crim.P. Committee Introduction to Chapter 3.</w:t>
      </w:r>
      <w:r w:rsidRPr="008B326F">
        <w:rPr>
          <w:sz w:val="24"/>
          <w:szCs w:val="24"/>
        </w:rPr>
        <w:t xml:space="preserve">  </w:t>
      </w:r>
      <w:r w:rsidRPr="00676E93">
        <w:rPr>
          <w:sz w:val="24"/>
          <w:szCs w:val="24"/>
        </w:rPr>
        <w:t xml:space="preserve">As the Superior Court has explained, requiring a defendant to bear financial consequences (in that context, </w:t>
      </w:r>
      <w:r w:rsidRPr="00676E93">
        <w:rPr>
          <w:sz w:val="24"/>
          <w:szCs w:val="24"/>
        </w:rPr>
        <w:lastRenderedPageBreak/>
        <w:t>restitution)</w:t>
      </w:r>
      <w:bookmarkStart w:id="5" w:name="Bookmark_I4FK376F0K1MNJ2W70000400_2"/>
      <w:bookmarkStart w:id="6" w:name="Bookmark_para_19"/>
      <w:bookmarkStart w:id="7" w:name="Bookmark_para_21"/>
      <w:bookmarkStart w:id="8" w:name="Bookmark_para_22"/>
      <w:bookmarkStart w:id="9" w:name="Bookmark_I4FK376F0K1MNJ2XX0000400"/>
      <w:bookmarkStart w:id="10" w:name="Bookmark_LNHNREFclscc11"/>
      <w:bookmarkStart w:id="11" w:name="Bookmark_para_23"/>
      <w:bookmarkStart w:id="12" w:name="Bookmark_I4FK376F0K1MNJ2YP0000400"/>
      <w:bookmarkStart w:id="13" w:name="Bookmark_I4FK376F0K1MNJ2YS0000400"/>
      <w:bookmarkStart w:id="14" w:name="Bookmark_fnpara_5"/>
      <w:bookmarkStart w:id="15" w:name="Bookmark_I4FK376F0K1MNJ2TR0000400"/>
      <w:bookmarkEnd w:id="5"/>
      <w:bookmarkEnd w:id="6"/>
      <w:bookmarkEnd w:id="7"/>
      <w:bookmarkEnd w:id="8"/>
      <w:bookmarkEnd w:id="9"/>
      <w:bookmarkEnd w:id="10"/>
      <w:bookmarkEnd w:id="11"/>
      <w:bookmarkEnd w:id="12"/>
      <w:bookmarkEnd w:id="13"/>
      <w:bookmarkEnd w:id="14"/>
      <w:bookmarkEnd w:id="15"/>
      <w:r w:rsidR="00832FCA">
        <w:rPr>
          <w:sz w:val="24"/>
          <w:szCs w:val="24"/>
        </w:rPr>
        <w:t xml:space="preserve"> </w:t>
      </w:r>
      <w:r>
        <w:rPr>
          <w:sz w:val="24"/>
          <w:szCs w:val="24"/>
        </w:rPr>
        <w:t>“</w:t>
      </w:r>
      <w:bookmarkStart w:id="16" w:name="Bookmark_I4FK376F0K1MNJ2WC0000400"/>
      <w:bookmarkStart w:id="17" w:name="Bookmark_I4FK376F0K1MNJ2TP0000400"/>
      <w:bookmarkStart w:id="18" w:name="Bookmark_I4FK376F0K1MNJ2XV0000400"/>
      <w:bookmarkStart w:id="19" w:name="Bookmark_I4FK376F0K1MNJ2XV0000400_2"/>
      <w:bookmarkStart w:id="20" w:name="Bookmark_I4FK376F0K1MNJ2XT0000400"/>
      <w:bookmarkStart w:id="21" w:name="Bookmark_LNHNREFclscc10"/>
      <w:bookmarkStart w:id="22" w:name="Bookmark_I4FK376F0K1MNJ2XY0000400"/>
      <w:bookmarkStart w:id="23" w:name="Bookmark_I4FK376F0K1MNJ2WB0000400"/>
      <w:bookmarkStart w:id="24" w:name="Bookmark_LNHNREFclscc12"/>
      <w:bookmarkStart w:id="25" w:name="Bookmark_para_20"/>
      <w:bookmarkStart w:id="26" w:name="Bookmark_I4FK376F0K1MNJ2TR0000400_2"/>
      <w:bookmarkEnd w:id="16"/>
      <w:bookmarkEnd w:id="17"/>
      <w:bookmarkEnd w:id="18"/>
      <w:bookmarkEnd w:id="19"/>
      <w:bookmarkEnd w:id="20"/>
      <w:bookmarkEnd w:id="21"/>
      <w:bookmarkEnd w:id="22"/>
      <w:bookmarkEnd w:id="23"/>
      <w:bookmarkEnd w:id="24"/>
      <w:bookmarkEnd w:id="25"/>
      <w:bookmarkEnd w:id="26"/>
      <w:r w:rsidRPr="00832FCA">
        <w:rPr>
          <w:spacing w:val="-1"/>
          <w:sz w:val="24"/>
          <w:szCs w:val="24"/>
        </w:rPr>
        <w:t>can</w:t>
      </w:r>
      <w:r w:rsidRPr="00832FCA">
        <w:rPr>
          <w:spacing w:val="16"/>
          <w:sz w:val="24"/>
          <w:szCs w:val="24"/>
        </w:rPr>
        <w:t xml:space="preserve"> </w:t>
      </w:r>
      <w:r w:rsidRPr="00832FCA">
        <w:rPr>
          <w:sz w:val="24"/>
          <w:szCs w:val="24"/>
        </w:rPr>
        <w:t>aid</w:t>
      </w:r>
      <w:r w:rsidRPr="00832FCA">
        <w:rPr>
          <w:spacing w:val="16"/>
          <w:sz w:val="24"/>
          <w:szCs w:val="24"/>
        </w:rPr>
        <w:t xml:space="preserve"> </w:t>
      </w:r>
      <w:r w:rsidRPr="00832FCA">
        <w:rPr>
          <w:sz w:val="24"/>
          <w:szCs w:val="24"/>
        </w:rPr>
        <w:t>an</w:t>
      </w:r>
      <w:r w:rsidRPr="00832FCA">
        <w:rPr>
          <w:spacing w:val="16"/>
          <w:sz w:val="24"/>
          <w:szCs w:val="24"/>
        </w:rPr>
        <w:t xml:space="preserve"> </w:t>
      </w:r>
      <w:r w:rsidRPr="00832FCA">
        <w:rPr>
          <w:sz w:val="24"/>
          <w:szCs w:val="24"/>
        </w:rPr>
        <w:t>offender</w:t>
      </w:r>
      <w:r w:rsidR="00832FCA">
        <w:rPr>
          <w:sz w:val="24"/>
          <w:szCs w:val="24"/>
        </w:rPr>
        <w:t>’</w:t>
      </w:r>
      <w:r w:rsidRPr="00832FCA">
        <w:rPr>
          <w:sz w:val="24"/>
          <w:szCs w:val="24"/>
        </w:rPr>
        <w:t>s</w:t>
      </w:r>
      <w:r w:rsidRPr="00832FCA">
        <w:rPr>
          <w:spacing w:val="16"/>
          <w:sz w:val="24"/>
          <w:szCs w:val="24"/>
        </w:rPr>
        <w:t xml:space="preserve"> </w:t>
      </w:r>
      <w:r w:rsidRPr="00832FCA">
        <w:rPr>
          <w:spacing w:val="-1"/>
          <w:sz w:val="24"/>
          <w:szCs w:val="24"/>
        </w:rPr>
        <w:t>rehabilitation</w:t>
      </w:r>
      <w:r w:rsidRPr="00832FCA">
        <w:rPr>
          <w:spacing w:val="16"/>
          <w:sz w:val="24"/>
          <w:szCs w:val="24"/>
        </w:rPr>
        <w:t xml:space="preserve"> </w:t>
      </w:r>
      <w:r w:rsidRPr="00832FCA">
        <w:rPr>
          <w:sz w:val="24"/>
          <w:szCs w:val="24"/>
        </w:rPr>
        <w:t>by</w:t>
      </w:r>
      <w:r w:rsidRPr="00832FCA">
        <w:rPr>
          <w:spacing w:val="16"/>
          <w:sz w:val="24"/>
          <w:szCs w:val="24"/>
        </w:rPr>
        <w:t xml:space="preserve"> </w:t>
      </w:r>
      <w:r w:rsidRPr="00832FCA">
        <w:rPr>
          <w:spacing w:val="-1"/>
          <w:sz w:val="24"/>
          <w:szCs w:val="24"/>
        </w:rPr>
        <w:t>strengthening</w:t>
      </w:r>
      <w:r w:rsidRPr="00832FCA">
        <w:rPr>
          <w:spacing w:val="16"/>
          <w:sz w:val="24"/>
          <w:szCs w:val="24"/>
        </w:rPr>
        <w:t xml:space="preserve"> </w:t>
      </w:r>
      <w:r w:rsidRPr="00832FCA">
        <w:rPr>
          <w:spacing w:val="-1"/>
          <w:sz w:val="24"/>
          <w:szCs w:val="24"/>
        </w:rPr>
        <w:t>the</w:t>
      </w:r>
      <w:r w:rsidRPr="00832FCA">
        <w:rPr>
          <w:spacing w:val="16"/>
          <w:sz w:val="24"/>
          <w:szCs w:val="24"/>
        </w:rPr>
        <w:t xml:space="preserve"> </w:t>
      </w:r>
      <w:r w:rsidRPr="00832FCA">
        <w:rPr>
          <w:spacing w:val="-1"/>
          <w:sz w:val="24"/>
          <w:szCs w:val="24"/>
        </w:rPr>
        <w:t>individual's</w:t>
      </w:r>
      <w:r w:rsidRPr="00832FCA">
        <w:rPr>
          <w:spacing w:val="16"/>
          <w:sz w:val="24"/>
          <w:szCs w:val="24"/>
        </w:rPr>
        <w:t xml:space="preserve"> </w:t>
      </w:r>
      <w:r w:rsidRPr="00832FCA">
        <w:rPr>
          <w:sz w:val="24"/>
          <w:szCs w:val="24"/>
        </w:rPr>
        <w:t>sense</w:t>
      </w:r>
      <w:r w:rsidRPr="00832FCA">
        <w:rPr>
          <w:spacing w:val="16"/>
          <w:sz w:val="24"/>
          <w:szCs w:val="24"/>
        </w:rPr>
        <w:t xml:space="preserve"> </w:t>
      </w:r>
      <w:r w:rsidRPr="00832FCA">
        <w:rPr>
          <w:sz w:val="24"/>
          <w:szCs w:val="24"/>
        </w:rPr>
        <w:t>of</w:t>
      </w:r>
      <w:r w:rsidRPr="00832FCA">
        <w:rPr>
          <w:spacing w:val="16"/>
          <w:sz w:val="24"/>
          <w:szCs w:val="24"/>
        </w:rPr>
        <w:t xml:space="preserve"> </w:t>
      </w:r>
      <w:r w:rsidRPr="00832FCA">
        <w:rPr>
          <w:spacing w:val="-1"/>
          <w:sz w:val="24"/>
          <w:szCs w:val="24"/>
        </w:rPr>
        <w:t>responsibility</w:t>
      </w:r>
      <w:bookmarkStart w:id="27" w:name="Bookmark_I4FK376F0K1MNJ2XW0000400"/>
      <w:bookmarkStart w:id="28" w:name="Bookmark_I4FK376F0K1MNJ2W70000400"/>
      <w:bookmarkStart w:id="29" w:name="Bookmark_LNHNREFclscc9"/>
      <w:bookmarkEnd w:id="27"/>
      <w:bookmarkEnd w:id="28"/>
      <w:bookmarkEnd w:id="29"/>
      <w:r w:rsidR="00832FCA">
        <w:rPr>
          <w:spacing w:val="-1"/>
          <w:sz w:val="24"/>
          <w:szCs w:val="24"/>
        </w:rPr>
        <w:t>,” but “</w:t>
      </w:r>
      <w:r w:rsidRPr="00832FCA">
        <w:rPr>
          <w:spacing w:val="-1"/>
          <w:sz w:val="24"/>
          <w:szCs w:val="24"/>
        </w:rPr>
        <w:t>conditioning</w:t>
      </w:r>
      <w:r w:rsidRPr="00832FCA">
        <w:rPr>
          <w:spacing w:val="42"/>
          <w:sz w:val="24"/>
          <w:szCs w:val="24"/>
        </w:rPr>
        <w:t xml:space="preserve"> </w:t>
      </w:r>
      <w:r w:rsidRPr="00832FCA">
        <w:rPr>
          <w:sz w:val="24"/>
          <w:szCs w:val="24"/>
        </w:rPr>
        <w:t>probation</w:t>
      </w:r>
      <w:r w:rsidRPr="00832FCA">
        <w:rPr>
          <w:spacing w:val="42"/>
          <w:sz w:val="24"/>
          <w:szCs w:val="24"/>
        </w:rPr>
        <w:t xml:space="preserve"> </w:t>
      </w:r>
      <w:r w:rsidRPr="00832FCA">
        <w:rPr>
          <w:sz w:val="24"/>
          <w:szCs w:val="24"/>
        </w:rPr>
        <w:t>on</w:t>
      </w:r>
      <w:r w:rsidRPr="00832FCA">
        <w:rPr>
          <w:spacing w:val="42"/>
          <w:sz w:val="24"/>
          <w:szCs w:val="24"/>
        </w:rPr>
        <w:t xml:space="preserve"> </w:t>
      </w:r>
      <w:r w:rsidRPr="00832FCA">
        <w:rPr>
          <w:sz w:val="24"/>
          <w:szCs w:val="24"/>
        </w:rPr>
        <w:t>the</w:t>
      </w:r>
      <w:r w:rsidRPr="00832FCA">
        <w:rPr>
          <w:spacing w:val="42"/>
          <w:sz w:val="24"/>
          <w:szCs w:val="24"/>
        </w:rPr>
        <w:t xml:space="preserve"> </w:t>
      </w:r>
      <w:r w:rsidRPr="00832FCA">
        <w:rPr>
          <w:spacing w:val="-1"/>
          <w:sz w:val="24"/>
          <w:szCs w:val="24"/>
        </w:rPr>
        <w:t>satisfaction</w:t>
      </w:r>
      <w:r w:rsidRPr="00832FCA">
        <w:rPr>
          <w:spacing w:val="42"/>
          <w:sz w:val="24"/>
          <w:szCs w:val="24"/>
        </w:rPr>
        <w:t xml:space="preserve"> </w:t>
      </w:r>
      <w:r w:rsidRPr="00832FCA">
        <w:rPr>
          <w:sz w:val="24"/>
          <w:szCs w:val="24"/>
        </w:rPr>
        <w:t>of</w:t>
      </w:r>
      <w:r w:rsidRPr="00832FCA">
        <w:rPr>
          <w:spacing w:val="42"/>
          <w:sz w:val="24"/>
          <w:szCs w:val="24"/>
        </w:rPr>
        <w:t xml:space="preserve"> </w:t>
      </w:r>
      <w:r w:rsidRPr="00832FCA">
        <w:rPr>
          <w:spacing w:val="-1"/>
          <w:sz w:val="24"/>
          <w:szCs w:val="24"/>
        </w:rPr>
        <w:t>requirements</w:t>
      </w:r>
      <w:r w:rsidRPr="00832FCA">
        <w:rPr>
          <w:spacing w:val="42"/>
          <w:sz w:val="24"/>
          <w:szCs w:val="24"/>
        </w:rPr>
        <w:t xml:space="preserve"> </w:t>
      </w:r>
      <w:r w:rsidRPr="00832FCA">
        <w:rPr>
          <w:sz w:val="24"/>
          <w:szCs w:val="24"/>
        </w:rPr>
        <w:t>which</w:t>
      </w:r>
      <w:r w:rsidRPr="00832FCA">
        <w:rPr>
          <w:spacing w:val="42"/>
          <w:sz w:val="24"/>
          <w:szCs w:val="24"/>
        </w:rPr>
        <w:t xml:space="preserve"> </w:t>
      </w:r>
      <w:r w:rsidRPr="00832FCA">
        <w:rPr>
          <w:sz w:val="24"/>
          <w:szCs w:val="24"/>
        </w:rPr>
        <w:t>are</w:t>
      </w:r>
      <w:r w:rsidRPr="00832FCA">
        <w:rPr>
          <w:spacing w:val="42"/>
          <w:sz w:val="24"/>
          <w:szCs w:val="24"/>
        </w:rPr>
        <w:t xml:space="preserve"> </w:t>
      </w:r>
      <w:r w:rsidRPr="00832FCA">
        <w:rPr>
          <w:sz w:val="24"/>
          <w:szCs w:val="24"/>
        </w:rPr>
        <w:t>beyond</w:t>
      </w:r>
      <w:r w:rsidRPr="00832FCA">
        <w:rPr>
          <w:spacing w:val="42"/>
          <w:sz w:val="24"/>
          <w:szCs w:val="24"/>
        </w:rPr>
        <w:t xml:space="preserve"> </w:t>
      </w:r>
      <w:r w:rsidRPr="00832FCA">
        <w:rPr>
          <w:sz w:val="24"/>
          <w:szCs w:val="24"/>
        </w:rPr>
        <w:t>the</w:t>
      </w:r>
      <w:r w:rsidRPr="00832FCA">
        <w:rPr>
          <w:spacing w:val="42"/>
          <w:sz w:val="24"/>
          <w:szCs w:val="24"/>
        </w:rPr>
        <w:t xml:space="preserve"> </w:t>
      </w:r>
      <w:r w:rsidRPr="00832FCA">
        <w:rPr>
          <w:spacing w:val="-1"/>
          <w:sz w:val="24"/>
          <w:szCs w:val="24"/>
        </w:rPr>
        <w:t>probationer</w:t>
      </w:r>
      <w:r w:rsidR="00832FCA">
        <w:rPr>
          <w:spacing w:val="-1"/>
          <w:sz w:val="24"/>
          <w:szCs w:val="24"/>
        </w:rPr>
        <w:t>’</w:t>
      </w:r>
      <w:r w:rsidRPr="00832FCA">
        <w:rPr>
          <w:spacing w:val="-1"/>
          <w:sz w:val="24"/>
          <w:szCs w:val="24"/>
        </w:rPr>
        <w:t>s</w:t>
      </w:r>
      <w:r w:rsidRPr="00832FCA">
        <w:rPr>
          <w:spacing w:val="42"/>
          <w:sz w:val="24"/>
          <w:szCs w:val="24"/>
        </w:rPr>
        <w:t xml:space="preserve"> </w:t>
      </w:r>
      <w:r w:rsidRPr="00832FCA">
        <w:rPr>
          <w:spacing w:val="-1"/>
          <w:sz w:val="24"/>
          <w:szCs w:val="24"/>
        </w:rPr>
        <w:t>control</w:t>
      </w:r>
      <w:r w:rsidRPr="00832FCA">
        <w:rPr>
          <w:spacing w:val="42"/>
          <w:sz w:val="24"/>
          <w:szCs w:val="24"/>
        </w:rPr>
        <w:t xml:space="preserve"> </w:t>
      </w:r>
      <w:r w:rsidRPr="00832FCA">
        <w:rPr>
          <w:sz w:val="24"/>
          <w:szCs w:val="24"/>
        </w:rPr>
        <w:t>undermines</w:t>
      </w:r>
      <w:r w:rsidRPr="00832FCA">
        <w:rPr>
          <w:spacing w:val="42"/>
          <w:sz w:val="24"/>
          <w:szCs w:val="24"/>
        </w:rPr>
        <w:t xml:space="preserve"> </w:t>
      </w:r>
      <w:r w:rsidRPr="00832FCA">
        <w:rPr>
          <w:sz w:val="24"/>
          <w:szCs w:val="24"/>
        </w:rPr>
        <w:t>the</w:t>
      </w:r>
      <w:r w:rsidRPr="00832FCA">
        <w:rPr>
          <w:spacing w:val="103"/>
          <w:sz w:val="24"/>
          <w:szCs w:val="24"/>
        </w:rPr>
        <w:t xml:space="preserve"> </w:t>
      </w:r>
      <w:r w:rsidRPr="00832FCA">
        <w:rPr>
          <w:spacing w:val="-1"/>
          <w:sz w:val="24"/>
          <w:szCs w:val="24"/>
        </w:rPr>
        <w:t>probationer</w:t>
      </w:r>
      <w:r w:rsidR="00832FCA">
        <w:rPr>
          <w:spacing w:val="-1"/>
          <w:sz w:val="24"/>
          <w:szCs w:val="24"/>
        </w:rPr>
        <w:t>’</w:t>
      </w:r>
      <w:r w:rsidRPr="00832FCA">
        <w:rPr>
          <w:spacing w:val="-1"/>
          <w:sz w:val="24"/>
          <w:szCs w:val="24"/>
        </w:rPr>
        <w:t>s</w:t>
      </w:r>
      <w:r w:rsidRPr="00832FCA">
        <w:rPr>
          <w:sz w:val="24"/>
          <w:szCs w:val="24"/>
        </w:rPr>
        <w:t xml:space="preserve"> sense of </w:t>
      </w:r>
      <w:r w:rsidRPr="00832FCA">
        <w:rPr>
          <w:spacing w:val="-1"/>
          <w:sz w:val="24"/>
          <w:szCs w:val="24"/>
        </w:rPr>
        <w:t>responsibility.</w:t>
      </w:r>
      <w:r w:rsidR="00832FCA">
        <w:rPr>
          <w:spacing w:val="-1"/>
          <w:sz w:val="24"/>
          <w:szCs w:val="24"/>
        </w:rPr>
        <w:t>”</w:t>
      </w:r>
      <w:r w:rsidRPr="00832FCA">
        <w:rPr>
          <w:sz w:val="24"/>
          <w:szCs w:val="24"/>
        </w:rPr>
        <w:t xml:space="preserve"> </w:t>
      </w:r>
      <w:bookmarkStart w:id="30" w:name="Bookmark_I4FK376F0K1MNJ2TS0000400"/>
      <w:bookmarkEnd w:id="30"/>
      <w:r w:rsidRPr="00832FCA">
        <w:rPr>
          <w:i/>
          <w:iCs/>
          <w:sz w:val="24"/>
          <w:szCs w:val="24"/>
        </w:rPr>
        <w:t>Commonwealth v. Fuqua</w:t>
      </w:r>
      <w:r w:rsidRPr="00832FCA">
        <w:rPr>
          <w:sz w:val="24"/>
          <w:szCs w:val="24"/>
        </w:rPr>
        <w:t>, 407 A.2d 24</w:t>
      </w:r>
      <w:r>
        <w:rPr>
          <w:sz w:val="24"/>
          <w:szCs w:val="24"/>
        </w:rPr>
        <w:t>, 26</w:t>
      </w:r>
      <w:r w:rsidRPr="00832FCA">
        <w:rPr>
          <w:sz w:val="24"/>
          <w:szCs w:val="24"/>
        </w:rPr>
        <w:t xml:space="preserve"> (</w:t>
      </w:r>
      <w:r w:rsidR="008F298E">
        <w:rPr>
          <w:sz w:val="24"/>
          <w:szCs w:val="24"/>
        </w:rPr>
        <w:t xml:space="preserve">Pa. Super. Ct. </w:t>
      </w:r>
      <w:bookmarkStart w:id="31" w:name="_GoBack"/>
      <w:bookmarkEnd w:id="31"/>
      <w:r w:rsidRPr="00832FCA">
        <w:rPr>
          <w:sz w:val="24"/>
          <w:szCs w:val="24"/>
        </w:rPr>
        <w:t>1979</w:t>
      </w:r>
      <w:bookmarkStart w:id="32" w:name="Bookmark_I4FK376F0K1MNJ2W80000400"/>
      <w:bookmarkEnd w:id="32"/>
      <w:r w:rsidR="00832FCA">
        <w:rPr>
          <w:sz w:val="24"/>
          <w:szCs w:val="24"/>
        </w:rPr>
        <w:t xml:space="preserve">) (quoting </w:t>
      </w:r>
      <w:r w:rsidR="00832FCA">
        <w:rPr>
          <w:i/>
          <w:sz w:val="24"/>
          <w:szCs w:val="24"/>
        </w:rPr>
        <w:t>Huggett v. State</w:t>
      </w:r>
      <w:r w:rsidR="00832FCA">
        <w:rPr>
          <w:sz w:val="24"/>
          <w:szCs w:val="24"/>
        </w:rPr>
        <w:t>, 266 N.W. 2d. 403, 407 (Wis. 1978).</w:t>
      </w:r>
    </w:p>
    <w:p w14:paraId="43A9FC01" w14:textId="1CC6DDA7" w:rsidR="00887138" w:rsidRPr="00082EEA" w:rsidRDefault="00887138" w:rsidP="00832FCA">
      <w:pPr>
        <w:pStyle w:val="FootnoteText"/>
        <w:numPr>
          <w:ilvl w:val="0"/>
          <w:numId w:val="2"/>
        </w:numPr>
        <w:spacing w:line="480" w:lineRule="auto"/>
        <w:rPr>
          <w:sz w:val="24"/>
          <w:szCs w:val="24"/>
        </w:rPr>
      </w:pPr>
      <w:r w:rsidRPr="00082EEA">
        <w:rPr>
          <w:sz w:val="24"/>
          <w:szCs w:val="24"/>
        </w:rPr>
        <w:t xml:space="preserve">In </w:t>
      </w:r>
      <w:r w:rsidRPr="00082EEA">
        <w:rPr>
          <w:i/>
          <w:sz w:val="24"/>
          <w:szCs w:val="24"/>
        </w:rPr>
        <w:t>Commonwealth v. Melnyk</w:t>
      </w:r>
      <w:r w:rsidRPr="00082EEA">
        <w:rPr>
          <w:sz w:val="24"/>
          <w:szCs w:val="24"/>
        </w:rPr>
        <w:t>, 548 A.2d</w:t>
      </w:r>
      <w:r w:rsidRPr="00676E93">
        <w:rPr>
          <w:sz w:val="24"/>
          <w:szCs w:val="24"/>
        </w:rPr>
        <w:t xml:space="preserve"> 266, 272 (Pa. Super. Ct. 1988), the Superior Court ruled that </w:t>
      </w:r>
      <w:r w:rsidR="000F53F5">
        <w:rPr>
          <w:sz w:val="24"/>
          <w:szCs w:val="24"/>
        </w:rPr>
        <w:t>preventing a defendant</w:t>
      </w:r>
      <w:r w:rsidRPr="00676E93">
        <w:rPr>
          <w:sz w:val="24"/>
          <w:szCs w:val="24"/>
        </w:rPr>
        <w:t xml:space="preserve"> from participating in ARD solely because she could not afford to pay restitution would “deprive the petitioner her interest in repaying her debt to society without receiving a criminal record simply because, through no fault of her own, she could not pay restitution. Such a deprivation would be contrary to the fundamental fairness required by the Fourteenth Amendment.” </w:t>
      </w:r>
      <w:r w:rsidRPr="00676E93">
        <w:rPr>
          <w:i/>
          <w:sz w:val="24"/>
          <w:szCs w:val="24"/>
        </w:rPr>
        <w:t>Id</w:t>
      </w:r>
      <w:r w:rsidRPr="00676E93">
        <w:rPr>
          <w:sz w:val="24"/>
          <w:szCs w:val="24"/>
        </w:rPr>
        <w:t>.</w:t>
      </w:r>
      <w:r w:rsidR="00082EEA" w:rsidRPr="00676E93">
        <w:rPr>
          <w:sz w:val="24"/>
          <w:szCs w:val="24"/>
        </w:rPr>
        <w:t xml:space="preserve"> (“[W]e hold that in ARD determinations, the district attorney and the court must inquire into the reasons for the petitioner'</w:t>
      </w:r>
      <w:r w:rsidR="00082EEA" w:rsidRPr="00082EEA">
        <w:rPr>
          <w:sz w:val="24"/>
          <w:szCs w:val="24"/>
        </w:rPr>
        <w:t>s inability to pay restitution. If the petitioner shows a willingness to make a bona fide effort to pay whole or partial restitution, the State may not deny entrance to the ARD program.</w:t>
      </w:r>
      <w:r w:rsidR="00082EEA">
        <w:rPr>
          <w:sz w:val="24"/>
          <w:szCs w:val="24"/>
        </w:rPr>
        <w:t>”).</w:t>
      </w:r>
      <w:r w:rsidRPr="00082EEA">
        <w:rPr>
          <w:sz w:val="24"/>
          <w:szCs w:val="24"/>
        </w:rPr>
        <w:t xml:space="preserve"> Instead, as the court explained, a trial court must “consider alternative conditions for admittance to </w:t>
      </w:r>
      <w:r w:rsidRPr="00082EEA">
        <w:rPr>
          <w:i/>
          <w:sz w:val="24"/>
          <w:szCs w:val="24"/>
        </w:rPr>
        <w:t>and completion of the ARD program</w:t>
      </w:r>
      <w:r w:rsidRPr="00082EEA">
        <w:rPr>
          <w:sz w:val="24"/>
          <w:szCs w:val="24"/>
        </w:rPr>
        <w:t xml:space="preserve">” if the defendant “has no ability to pay” despite bona fide efforts to do so. </w:t>
      </w:r>
      <w:r w:rsidRPr="00082EEA">
        <w:rPr>
          <w:i/>
          <w:sz w:val="24"/>
          <w:szCs w:val="24"/>
        </w:rPr>
        <w:t xml:space="preserve">Id. </w:t>
      </w:r>
      <w:r w:rsidRPr="00082EEA">
        <w:rPr>
          <w:sz w:val="24"/>
          <w:szCs w:val="24"/>
        </w:rPr>
        <w:t>(emphasis added).</w:t>
      </w:r>
    </w:p>
    <w:p w14:paraId="6B35780B" w14:textId="311B29A3" w:rsidR="00887138" w:rsidRDefault="00887138" w:rsidP="00887138">
      <w:pPr>
        <w:pStyle w:val="FootnoteText"/>
        <w:numPr>
          <w:ilvl w:val="0"/>
          <w:numId w:val="2"/>
        </w:numPr>
        <w:spacing w:line="480" w:lineRule="auto"/>
        <w:rPr>
          <w:sz w:val="24"/>
          <w:szCs w:val="24"/>
        </w:rPr>
      </w:pPr>
      <w:r>
        <w:rPr>
          <w:sz w:val="24"/>
          <w:szCs w:val="24"/>
        </w:rPr>
        <w:t xml:space="preserve">This constitutional requirement is reflected in Rule 316, which governs the conditions of ARD. Rule 316 provides </w:t>
      </w:r>
      <w:r w:rsidR="000F53F5">
        <w:rPr>
          <w:sz w:val="24"/>
          <w:szCs w:val="24"/>
        </w:rPr>
        <w:t>that a condition</w:t>
      </w:r>
      <w:r>
        <w:rPr>
          <w:sz w:val="24"/>
          <w:szCs w:val="24"/>
        </w:rPr>
        <w:t xml:space="preserve"> of ARD “</w:t>
      </w:r>
      <w:r w:rsidRPr="000F53F5">
        <w:rPr>
          <w:sz w:val="24"/>
          <w:szCs w:val="24"/>
        </w:rPr>
        <w:t>may</w:t>
      </w:r>
      <w:r>
        <w:rPr>
          <w:sz w:val="24"/>
          <w:szCs w:val="24"/>
        </w:rPr>
        <w:t xml:space="preserve"> include the imposition of costs”—such costs are not mandatory. And the Comment further explains that: “</w:t>
      </w:r>
      <w:r w:rsidRPr="007D7EA0">
        <w:rPr>
          <w:sz w:val="24"/>
          <w:szCs w:val="24"/>
        </w:rPr>
        <w:t xml:space="preserve">The practice has been to permit qualified individuals who are indigent to participate in the ARD program </w:t>
      </w:r>
      <w:r w:rsidRPr="00D42E4C">
        <w:rPr>
          <w:i/>
          <w:sz w:val="24"/>
          <w:szCs w:val="24"/>
        </w:rPr>
        <w:t>without payment of costs or charges</w:t>
      </w:r>
      <w:r w:rsidRPr="007D7EA0">
        <w:rPr>
          <w:sz w:val="24"/>
          <w:szCs w:val="24"/>
        </w:rPr>
        <w:t>. The 1983 amendment is not intended to change this practice; rather, it is intended that such practice will continue.</w:t>
      </w:r>
      <w:r>
        <w:rPr>
          <w:sz w:val="24"/>
          <w:szCs w:val="24"/>
        </w:rPr>
        <w:t xml:space="preserve">” (emphasis </w:t>
      </w:r>
      <w:r>
        <w:rPr>
          <w:sz w:val="24"/>
          <w:szCs w:val="24"/>
        </w:rPr>
        <w:lastRenderedPageBreak/>
        <w:t>added). In other words, it is the explicit intent of the Supreme Court</w:t>
      </w:r>
      <w:r w:rsidRPr="00887138">
        <w:rPr>
          <w:sz w:val="24"/>
          <w:szCs w:val="24"/>
        </w:rPr>
        <w:t xml:space="preserve">, in adopting the rules governing ARD, that costs are optional and should be waived for indigent defendants so that they can participate in ARD. </w:t>
      </w:r>
    </w:p>
    <w:p w14:paraId="59DE3C45" w14:textId="040A15F7" w:rsidR="00075AB0" w:rsidRPr="000F53F5" w:rsidRDefault="00075AB0" w:rsidP="00735BB5">
      <w:pPr>
        <w:pStyle w:val="FootnoteText"/>
        <w:numPr>
          <w:ilvl w:val="0"/>
          <w:numId w:val="2"/>
        </w:numPr>
        <w:spacing w:line="480" w:lineRule="auto"/>
        <w:rPr>
          <w:sz w:val="24"/>
          <w:szCs w:val="24"/>
        </w:rPr>
      </w:pPr>
      <w:commentRangeStart w:id="33"/>
      <w:r w:rsidRPr="000F53F5">
        <w:rPr>
          <w:sz w:val="24"/>
          <w:szCs w:val="24"/>
        </w:rPr>
        <w:t xml:space="preserve">The same </w:t>
      </w:r>
      <w:r w:rsidR="00676E93" w:rsidRPr="000F53F5">
        <w:rPr>
          <w:sz w:val="24"/>
          <w:szCs w:val="24"/>
        </w:rPr>
        <w:t>rule applies to</w:t>
      </w:r>
      <w:r w:rsidRPr="000F53F5">
        <w:rPr>
          <w:sz w:val="24"/>
          <w:szCs w:val="24"/>
        </w:rPr>
        <w:t xml:space="preserve"> restitution</w:t>
      </w:r>
      <w:commentRangeEnd w:id="33"/>
      <w:r w:rsidR="000F53F5">
        <w:rPr>
          <w:rStyle w:val="CommentReference"/>
          <w:rFonts w:eastAsiaTheme="minorEastAsia" w:cs="Times New Roman"/>
        </w:rPr>
        <w:commentReference w:id="33"/>
      </w:r>
      <w:r w:rsidRPr="000F53F5">
        <w:rPr>
          <w:sz w:val="24"/>
          <w:szCs w:val="24"/>
        </w:rPr>
        <w:t>. Rule 316 specifies that conditions of ARD “</w:t>
      </w:r>
      <w:r w:rsidRPr="000F53F5">
        <w:rPr>
          <w:i/>
          <w:sz w:val="24"/>
          <w:szCs w:val="24"/>
        </w:rPr>
        <w:t>may</w:t>
      </w:r>
      <w:r w:rsidRPr="000F53F5">
        <w:rPr>
          <w:sz w:val="24"/>
          <w:szCs w:val="24"/>
        </w:rPr>
        <w:t xml:space="preserve"> be imposed with respect to probation after conviction of a crime, including restitution.” In other words, restitution is </w:t>
      </w:r>
      <w:r w:rsidR="00B04781">
        <w:rPr>
          <w:sz w:val="24"/>
          <w:szCs w:val="24"/>
        </w:rPr>
        <w:t xml:space="preserve">also </w:t>
      </w:r>
      <w:r w:rsidRPr="000F53F5">
        <w:rPr>
          <w:sz w:val="24"/>
          <w:szCs w:val="24"/>
        </w:rPr>
        <w:t xml:space="preserve">not mandatory. </w:t>
      </w:r>
      <w:r w:rsidR="004D483C" w:rsidRPr="000F53F5">
        <w:rPr>
          <w:sz w:val="24"/>
          <w:szCs w:val="24"/>
        </w:rPr>
        <w:t>Even if restitution is imposed, it can only be imposed in an amount the defendant can actually afford</w:t>
      </w:r>
      <w:r w:rsidR="000F53F5" w:rsidRPr="000F53F5">
        <w:rPr>
          <w:sz w:val="24"/>
          <w:szCs w:val="24"/>
        </w:rPr>
        <w:t xml:space="preserve"> because such restitution may be only imposed as “with respect to probation after conviction of a crime”</w:t>
      </w:r>
      <w:r w:rsidR="00321A6B">
        <w:rPr>
          <w:sz w:val="24"/>
          <w:szCs w:val="24"/>
        </w:rPr>
        <w:t>—and the payment of restitution that is a condition of probation is limited to the defendant’s ability to pay.</w:t>
      </w:r>
      <w:r w:rsidR="000F53F5" w:rsidRPr="000F53F5">
        <w:rPr>
          <w:sz w:val="24"/>
          <w:szCs w:val="24"/>
        </w:rPr>
        <w:t xml:space="preserve"> </w:t>
      </w:r>
      <w:r w:rsidR="000F53F5" w:rsidRPr="000F53F5">
        <w:rPr>
          <w:i/>
          <w:sz w:val="24"/>
          <w:szCs w:val="24"/>
        </w:rPr>
        <w:t>See Melnyk</w:t>
      </w:r>
      <w:r w:rsidR="000F53F5" w:rsidRPr="000F53F5">
        <w:rPr>
          <w:sz w:val="24"/>
          <w:szCs w:val="24"/>
        </w:rPr>
        <w:t xml:space="preserve">, 548 A.2d at 268 (restitution in ARD may only be imposed in an amount the defendant can afford to pay” pursuant to 42 Pa.C.S. § 9754(c)). </w:t>
      </w:r>
    </w:p>
    <w:p w14:paraId="7D4B3B59" w14:textId="4EECFD19" w:rsidR="00887138" w:rsidRDefault="00804E2C" w:rsidP="004A30BB">
      <w:pPr>
        <w:pStyle w:val="ListParagraph"/>
        <w:numPr>
          <w:ilvl w:val="0"/>
          <w:numId w:val="2"/>
        </w:numPr>
        <w:spacing w:line="480" w:lineRule="auto"/>
        <w:rPr>
          <w:sz w:val="24"/>
          <w:szCs w:val="24"/>
        </w:rPr>
      </w:pPr>
      <w:commentRangeStart w:id="34"/>
      <w:r w:rsidRPr="00C032DC">
        <w:rPr>
          <w:sz w:val="24"/>
          <w:szCs w:val="24"/>
        </w:rPr>
        <w:t xml:space="preserve">In light of </w:t>
      </w:r>
      <w:r w:rsidRPr="00C032DC">
        <w:rPr>
          <w:i/>
          <w:sz w:val="24"/>
          <w:szCs w:val="24"/>
        </w:rPr>
        <w:t>Melnyk</w:t>
      </w:r>
      <w:r w:rsidR="0087683A">
        <w:rPr>
          <w:sz w:val="24"/>
          <w:szCs w:val="24"/>
        </w:rPr>
        <w:t xml:space="preserve"> and Rule 316</w:t>
      </w:r>
      <w:r w:rsidRPr="00C032DC">
        <w:rPr>
          <w:sz w:val="24"/>
          <w:szCs w:val="24"/>
        </w:rPr>
        <w:t>, the Court</w:t>
      </w:r>
      <w:r w:rsidR="00390479">
        <w:rPr>
          <w:sz w:val="24"/>
          <w:szCs w:val="24"/>
        </w:rPr>
        <w:t xml:space="preserve"> cannot expel a defendant from ARD </w:t>
      </w:r>
      <w:r w:rsidR="00FC4492">
        <w:rPr>
          <w:sz w:val="24"/>
          <w:szCs w:val="24"/>
        </w:rPr>
        <w:t>because of her inability to pay costs or restitution</w:t>
      </w:r>
      <w:r w:rsidR="009B7F2D">
        <w:rPr>
          <w:sz w:val="24"/>
          <w:szCs w:val="24"/>
        </w:rPr>
        <w:t xml:space="preserve">. </w:t>
      </w:r>
      <w:commentRangeEnd w:id="34"/>
      <w:r w:rsidR="009B7F2D">
        <w:rPr>
          <w:rStyle w:val="CommentReference"/>
        </w:rPr>
        <w:commentReference w:id="34"/>
      </w:r>
      <w:r w:rsidR="00FC4492">
        <w:rPr>
          <w:sz w:val="24"/>
          <w:szCs w:val="24"/>
        </w:rPr>
        <w:t>While the Court is free to substitute reasonable non-monetary conditions</w:t>
      </w:r>
      <w:r w:rsidR="00676E93">
        <w:rPr>
          <w:sz w:val="24"/>
          <w:szCs w:val="24"/>
        </w:rPr>
        <w:t xml:space="preserve"> related to the defendant’s rehabilitation</w:t>
      </w:r>
      <w:r w:rsidR="00FC4492">
        <w:rPr>
          <w:sz w:val="24"/>
          <w:szCs w:val="24"/>
        </w:rPr>
        <w:t xml:space="preserve">, </w:t>
      </w:r>
      <w:r w:rsidRPr="00C032DC">
        <w:rPr>
          <w:sz w:val="24"/>
          <w:szCs w:val="24"/>
        </w:rPr>
        <w:t xml:space="preserve">such as community service </w:t>
      </w:r>
      <w:r w:rsidR="00390479">
        <w:rPr>
          <w:sz w:val="24"/>
          <w:szCs w:val="24"/>
        </w:rPr>
        <w:t xml:space="preserve">or </w:t>
      </w:r>
      <w:r w:rsidRPr="00C032DC">
        <w:rPr>
          <w:sz w:val="24"/>
          <w:szCs w:val="24"/>
        </w:rPr>
        <w:t>[</w:t>
      </w:r>
      <w:r w:rsidRPr="00C032DC">
        <w:rPr>
          <w:color w:val="FF0000"/>
          <w:sz w:val="24"/>
          <w:szCs w:val="24"/>
        </w:rPr>
        <w:t>insert other appropriate ideas</w:t>
      </w:r>
      <w:r w:rsidRPr="00C032DC">
        <w:rPr>
          <w:sz w:val="24"/>
          <w:szCs w:val="24"/>
        </w:rPr>
        <w:t>]</w:t>
      </w:r>
      <w:r w:rsidR="00FC4492">
        <w:rPr>
          <w:sz w:val="24"/>
          <w:szCs w:val="24"/>
        </w:rPr>
        <w:t xml:space="preserve">, </w:t>
      </w:r>
      <w:r w:rsidR="00FC4492">
        <w:rPr>
          <w:color w:val="FF0000"/>
          <w:sz w:val="24"/>
          <w:szCs w:val="24"/>
        </w:rPr>
        <w:t xml:space="preserve">Ms. Doe </w:t>
      </w:r>
      <w:r w:rsidR="00FC4492">
        <w:rPr>
          <w:sz w:val="24"/>
          <w:szCs w:val="24"/>
        </w:rPr>
        <w:t xml:space="preserve">cannot be prohibited from completing ARD solely because of her </w:t>
      </w:r>
      <w:r w:rsidR="008B10F2">
        <w:rPr>
          <w:sz w:val="24"/>
          <w:szCs w:val="24"/>
        </w:rPr>
        <w:t>limited financial resources</w:t>
      </w:r>
      <w:r w:rsidR="00FC4492">
        <w:rPr>
          <w:sz w:val="24"/>
          <w:szCs w:val="24"/>
        </w:rPr>
        <w:t xml:space="preserve">. </w:t>
      </w:r>
      <w:r w:rsidR="00F5771E">
        <w:rPr>
          <w:sz w:val="24"/>
          <w:szCs w:val="24"/>
        </w:rPr>
        <w:t>Instead, the Court must waive or reduce the financial obligations of ARD.</w:t>
      </w:r>
    </w:p>
    <w:p w14:paraId="289BEBA5" w14:textId="5DF695AB" w:rsidR="009B7F2D" w:rsidRPr="004A30BB" w:rsidRDefault="009B7F2D" w:rsidP="004A30BB">
      <w:pPr>
        <w:pStyle w:val="ListParagraph"/>
        <w:numPr>
          <w:ilvl w:val="0"/>
          <w:numId w:val="2"/>
        </w:numPr>
        <w:spacing w:line="480" w:lineRule="auto"/>
        <w:rPr>
          <w:sz w:val="24"/>
          <w:szCs w:val="24"/>
        </w:rPr>
      </w:pPr>
      <w:commentRangeStart w:id="35"/>
      <w:r w:rsidRPr="00C032DC">
        <w:rPr>
          <w:sz w:val="24"/>
          <w:szCs w:val="24"/>
        </w:rPr>
        <w:t xml:space="preserve">In light of </w:t>
      </w:r>
      <w:r w:rsidRPr="00C032DC">
        <w:rPr>
          <w:i/>
          <w:sz w:val="24"/>
          <w:szCs w:val="24"/>
        </w:rPr>
        <w:t>Melnyk</w:t>
      </w:r>
      <w:r>
        <w:rPr>
          <w:sz w:val="24"/>
          <w:szCs w:val="24"/>
        </w:rPr>
        <w:t xml:space="preserve"> and Rule 316</w:t>
      </w:r>
      <w:r w:rsidRPr="00C032DC">
        <w:rPr>
          <w:sz w:val="24"/>
          <w:szCs w:val="24"/>
        </w:rPr>
        <w:t>, the Court</w:t>
      </w:r>
      <w:r>
        <w:rPr>
          <w:sz w:val="24"/>
          <w:szCs w:val="24"/>
        </w:rPr>
        <w:t xml:space="preserve"> cannot prevent a defendant from completing ARD </w:t>
      </w:r>
      <w:r w:rsidR="00081E6F">
        <w:rPr>
          <w:sz w:val="24"/>
          <w:szCs w:val="24"/>
        </w:rPr>
        <w:t>and receiving the benefits thereof simply because she cannot afford to pay costs or restitution</w:t>
      </w:r>
      <w:commentRangeEnd w:id="35"/>
      <w:r w:rsidR="00081E6F">
        <w:rPr>
          <w:rStyle w:val="CommentReference"/>
        </w:rPr>
        <w:commentReference w:id="35"/>
      </w:r>
      <w:r w:rsidR="00081E6F">
        <w:rPr>
          <w:sz w:val="24"/>
          <w:szCs w:val="24"/>
        </w:rPr>
        <w:t xml:space="preserve">. </w:t>
      </w:r>
      <w:commentRangeStart w:id="36"/>
      <w:r w:rsidR="00BE5FF7">
        <w:rPr>
          <w:sz w:val="24"/>
          <w:szCs w:val="24"/>
        </w:rPr>
        <w:t xml:space="preserve">Because </w:t>
      </w:r>
      <w:r w:rsidR="00BE5FF7">
        <w:rPr>
          <w:color w:val="FF0000"/>
          <w:sz w:val="24"/>
          <w:szCs w:val="24"/>
        </w:rPr>
        <w:t xml:space="preserve">Ms. Doe </w:t>
      </w:r>
      <w:r w:rsidR="00BE5FF7">
        <w:rPr>
          <w:sz w:val="24"/>
          <w:szCs w:val="24"/>
        </w:rPr>
        <w:t xml:space="preserve">cannot afford to pay costs or restitution, the Court </w:t>
      </w:r>
      <w:r w:rsidR="00FD5D6E">
        <w:rPr>
          <w:sz w:val="24"/>
          <w:szCs w:val="24"/>
        </w:rPr>
        <w:t>must</w:t>
      </w:r>
      <w:r w:rsidR="00BE5FF7">
        <w:rPr>
          <w:sz w:val="24"/>
          <w:szCs w:val="24"/>
        </w:rPr>
        <w:t xml:space="preserve"> waive</w:t>
      </w:r>
      <w:r w:rsidR="00281437">
        <w:rPr>
          <w:sz w:val="24"/>
          <w:szCs w:val="24"/>
        </w:rPr>
        <w:t xml:space="preserve"> or reduce</w:t>
      </w:r>
      <w:r w:rsidR="00643117">
        <w:rPr>
          <w:sz w:val="24"/>
          <w:szCs w:val="24"/>
        </w:rPr>
        <w:t xml:space="preserve"> her financial obligations, to </w:t>
      </w:r>
      <w:r w:rsidR="00BE5FF7">
        <w:rPr>
          <w:sz w:val="24"/>
          <w:szCs w:val="24"/>
        </w:rPr>
        <w:t xml:space="preserve">allow her to complete ARD. </w:t>
      </w:r>
      <w:commentRangeEnd w:id="36"/>
      <w:r w:rsidR="00EC0CCF">
        <w:rPr>
          <w:rStyle w:val="CommentReference"/>
        </w:rPr>
        <w:commentReference w:id="36"/>
      </w:r>
    </w:p>
    <w:p w14:paraId="4A30C130" w14:textId="77777777" w:rsidR="00676D1A" w:rsidRPr="00676D1A" w:rsidRDefault="00676D1A" w:rsidP="00676D1A">
      <w:pPr>
        <w:pStyle w:val="ListParagraph"/>
        <w:numPr>
          <w:ilvl w:val="0"/>
          <w:numId w:val="14"/>
        </w:numPr>
        <w:spacing w:line="480" w:lineRule="auto"/>
        <w:rPr>
          <w:b/>
          <w:sz w:val="24"/>
          <w:szCs w:val="24"/>
        </w:rPr>
      </w:pPr>
      <w:r>
        <w:rPr>
          <w:b/>
          <w:sz w:val="24"/>
          <w:szCs w:val="24"/>
        </w:rPr>
        <w:t xml:space="preserve">Ms. </w:t>
      </w:r>
      <w:r w:rsidRPr="00676D1A">
        <w:rPr>
          <w:b/>
          <w:color w:val="FF0000"/>
          <w:sz w:val="24"/>
          <w:szCs w:val="24"/>
        </w:rPr>
        <w:t xml:space="preserve">Doe </w:t>
      </w:r>
      <w:r>
        <w:rPr>
          <w:b/>
          <w:sz w:val="24"/>
          <w:szCs w:val="24"/>
        </w:rPr>
        <w:t xml:space="preserve">is indigent and lacks the ability to pay these costs. </w:t>
      </w:r>
    </w:p>
    <w:p w14:paraId="4B703204" w14:textId="2919A4FA" w:rsidR="00D6142F" w:rsidRDefault="00D6142F" w:rsidP="00390479">
      <w:pPr>
        <w:pStyle w:val="ListParagraph"/>
        <w:numPr>
          <w:ilvl w:val="0"/>
          <w:numId w:val="2"/>
        </w:numPr>
        <w:spacing w:line="480" w:lineRule="auto"/>
        <w:rPr>
          <w:sz w:val="24"/>
          <w:szCs w:val="24"/>
        </w:rPr>
      </w:pPr>
      <w:r w:rsidRPr="00390479">
        <w:rPr>
          <w:sz w:val="24"/>
          <w:szCs w:val="24"/>
        </w:rPr>
        <w:t xml:space="preserve">Whether a defendant can afford to pay court costs is defined by whether the defendant is </w:t>
      </w:r>
      <w:r w:rsidRPr="00390479">
        <w:rPr>
          <w:sz w:val="24"/>
          <w:szCs w:val="24"/>
        </w:rPr>
        <w:lastRenderedPageBreak/>
        <w:t xml:space="preserve">able to afford to meet her basic life needs. </w:t>
      </w:r>
      <w:r w:rsidRPr="00390479">
        <w:rPr>
          <w:rFonts w:eastAsia="Times New Roman"/>
          <w:i/>
          <w:sz w:val="24"/>
          <w:szCs w:val="24"/>
        </w:rPr>
        <w:t>See Stein Enterprises</w:t>
      </w:r>
      <w:r w:rsidR="00911C14">
        <w:rPr>
          <w:rFonts w:eastAsia="Times New Roman"/>
          <w:i/>
          <w:sz w:val="24"/>
          <w:szCs w:val="24"/>
        </w:rPr>
        <w:t>, Inc. v. Golla</w:t>
      </w:r>
      <w:r w:rsidRPr="00390479">
        <w:rPr>
          <w:rFonts w:eastAsia="Times New Roman"/>
          <w:sz w:val="24"/>
          <w:szCs w:val="24"/>
        </w:rPr>
        <w:t xml:space="preserve">, 426 A.2d </w:t>
      </w:r>
      <w:r w:rsidR="00911C14">
        <w:rPr>
          <w:rFonts w:eastAsia="Times New Roman"/>
          <w:sz w:val="24"/>
          <w:szCs w:val="24"/>
        </w:rPr>
        <w:t xml:space="preserve">1129, </w:t>
      </w:r>
      <w:r w:rsidRPr="00390479">
        <w:rPr>
          <w:rFonts w:eastAsia="Times New Roman"/>
          <w:sz w:val="24"/>
          <w:szCs w:val="24"/>
        </w:rPr>
        <w:t>1132</w:t>
      </w:r>
      <w:r w:rsidR="00911C14">
        <w:rPr>
          <w:rFonts w:eastAsia="Times New Roman"/>
          <w:sz w:val="24"/>
          <w:szCs w:val="24"/>
        </w:rPr>
        <w:t xml:space="preserve"> (Pa. 1981)</w:t>
      </w:r>
      <w:r w:rsidRPr="00390479">
        <w:rPr>
          <w:rFonts w:eastAsia="Times New Roman"/>
          <w:sz w:val="24"/>
          <w:szCs w:val="24"/>
        </w:rPr>
        <w:t xml:space="preserve"> (“[I]f the individual can afford to pay court costs only by sacrificing some of the items and services which are necessary for his day-to-day existence, he may not be forced to prepay costs in order to gain access to the courts, despite the fact that he may have some ‘excess’ income or unencumbered assets.”); </w:t>
      </w:r>
      <w:r w:rsidR="00C203DC" w:rsidRPr="002A6682">
        <w:rPr>
          <w:i/>
          <w:sz w:val="24"/>
          <w:szCs w:val="24"/>
        </w:rPr>
        <w:t>Gerlitzki v. Feldser</w:t>
      </w:r>
      <w:r w:rsidR="00C203DC" w:rsidRPr="002A6682">
        <w:rPr>
          <w:sz w:val="24"/>
          <w:szCs w:val="24"/>
        </w:rPr>
        <w:t>, 307 A.2d 307, 308 (</w:t>
      </w:r>
      <w:r w:rsidR="00C203DC">
        <w:rPr>
          <w:sz w:val="24"/>
          <w:szCs w:val="24"/>
        </w:rPr>
        <w:t xml:space="preserve">Pa. Super. Ct. 1973) (en banc) </w:t>
      </w:r>
      <w:r w:rsidRPr="00390479">
        <w:rPr>
          <w:rFonts w:eastAsia="Times New Roman"/>
          <w:sz w:val="24"/>
          <w:szCs w:val="24"/>
        </w:rPr>
        <w:t>(whether a person can pay depends on “whether he is able to obtain the necessities of life”).</w:t>
      </w:r>
      <w:r w:rsidRPr="005752C5">
        <w:rPr>
          <w:rStyle w:val="FootnoteReference"/>
          <w:sz w:val="24"/>
          <w:szCs w:val="24"/>
        </w:rPr>
        <w:footnoteReference w:id="1"/>
      </w:r>
      <w:r w:rsidRPr="00390479">
        <w:rPr>
          <w:sz w:val="24"/>
          <w:szCs w:val="24"/>
        </w:rPr>
        <w:t xml:space="preserve"> This requires </w:t>
      </w:r>
      <w:r w:rsidRPr="00390479">
        <w:rPr>
          <w:rFonts w:eastAsia="Times New Roman"/>
          <w:sz w:val="24"/>
          <w:szCs w:val="24"/>
        </w:rPr>
        <w:t xml:space="preserve">looking at </w:t>
      </w:r>
      <w:r w:rsidRPr="00390479">
        <w:rPr>
          <w:sz w:val="24"/>
          <w:szCs w:val="24"/>
        </w:rPr>
        <w:t xml:space="preserve">defendant’s entire financial picture and “life circumstances,” </w:t>
      </w:r>
      <w:r w:rsidRPr="00390479">
        <w:rPr>
          <w:i/>
          <w:sz w:val="24"/>
          <w:szCs w:val="24"/>
        </w:rPr>
        <w:t>Commonwealth v. Mauk</w:t>
      </w:r>
      <w:r w:rsidRPr="00390479">
        <w:rPr>
          <w:sz w:val="24"/>
          <w:szCs w:val="24"/>
        </w:rPr>
        <w:t xml:space="preserve">, 185 A.3d 406, 411 (Pa. Super. Ct. 2018), and make findings on the record. </w:t>
      </w:r>
      <w:r w:rsidR="00C310E4">
        <w:rPr>
          <w:i/>
          <w:sz w:val="24"/>
          <w:szCs w:val="24"/>
        </w:rPr>
        <w:t>Commonwealth v. Diaz</w:t>
      </w:r>
      <w:r w:rsidR="00C310E4">
        <w:rPr>
          <w:sz w:val="24"/>
          <w:szCs w:val="24"/>
        </w:rPr>
        <w:t>, 191 A.3d 850, (Pa. Super. Ct. 2018) (setting a payment plan requires making “findings” regarding the defendant’s ability to pay).</w:t>
      </w:r>
    </w:p>
    <w:p w14:paraId="0D4AEE5A" w14:textId="0EA69E75" w:rsidR="000F53F5" w:rsidRPr="000F53F5" w:rsidRDefault="000F53F5" w:rsidP="00390479">
      <w:pPr>
        <w:pStyle w:val="ListParagraph"/>
        <w:numPr>
          <w:ilvl w:val="0"/>
          <w:numId w:val="2"/>
        </w:numPr>
        <w:spacing w:line="480" w:lineRule="auto"/>
        <w:rPr>
          <w:sz w:val="24"/>
          <w:szCs w:val="24"/>
        </w:rPr>
      </w:pPr>
      <w:r w:rsidRPr="000F53F5">
        <w:rPr>
          <w:sz w:val="24"/>
          <w:szCs w:val="24"/>
        </w:rPr>
        <w:t xml:space="preserve">In making this inquiry, this Court can consider only the defendant’s finances, not those of friends or family, as the obligation to pay is the defendant’s alone. </w:t>
      </w:r>
      <w:r w:rsidRPr="000F53F5">
        <w:rPr>
          <w:i/>
          <w:sz w:val="24"/>
          <w:szCs w:val="24"/>
        </w:rPr>
        <w:t>See Commonwealth v. Smetana</w:t>
      </w:r>
      <w:r w:rsidRPr="000F53F5">
        <w:rPr>
          <w:sz w:val="24"/>
          <w:szCs w:val="24"/>
        </w:rPr>
        <w:t>, 191 A.3d 867, 873 (Pa. Super. Ct. 2018) (“Although Appellant indicated that he could potentially borrow money from a sibling, the court failed to find—as our law requires—that he alone had the financial ability to pay the outstanding fines and costs such that imprisonment was warranted.”).</w:t>
      </w:r>
    </w:p>
    <w:p w14:paraId="2A3BACA7" w14:textId="6860AB1C" w:rsidR="00D6142F" w:rsidRPr="002A6682" w:rsidRDefault="00D6142F" w:rsidP="00390479">
      <w:pPr>
        <w:pStyle w:val="ListParagraph"/>
        <w:widowControl/>
        <w:numPr>
          <w:ilvl w:val="0"/>
          <w:numId w:val="2"/>
        </w:numPr>
        <w:spacing w:line="480" w:lineRule="auto"/>
        <w:rPr>
          <w:sz w:val="24"/>
          <w:szCs w:val="24"/>
        </w:rPr>
      </w:pPr>
      <w:r w:rsidRPr="002A6682">
        <w:rPr>
          <w:rFonts w:eastAsia="Times New Roman"/>
          <w:sz w:val="24"/>
          <w:szCs w:val="24"/>
        </w:rPr>
        <w:lastRenderedPageBreak/>
        <w:t xml:space="preserve">Defendants like </w:t>
      </w:r>
      <w:r w:rsidR="00E06C7B">
        <w:rPr>
          <w:color w:val="FF0000"/>
          <w:sz w:val="24"/>
          <w:szCs w:val="24"/>
        </w:rPr>
        <w:t>Ms. Doe</w:t>
      </w:r>
      <w:r w:rsidRPr="002A6682">
        <w:rPr>
          <w:rFonts w:eastAsia="Times New Roman"/>
          <w:sz w:val="24"/>
          <w:szCs w:val="24"/>
        </w:rPr>
        <w:t xml:space="preserve">, who </w:t>
      </w:r>
      <w:r>
        <w:rPr>
          <w:rFonts w:eastAsia="Times New Roman"/>
          <w:sz w:val="24"/>
          <w:szCs w:val="24"/>
        </w:rPr>
        <w:t xml:space="preserve">are </w:t>
      </w:r>
      <w:r w:rsidRPr="002A6682">
        <w:rPr>
          <w:rFonts w:eastAsia="Times New Roman"/>
          <w:sz w:val="24"/>
          <w:szCs w:val="24"/>
        </w:rPr>
        <w:t>indigent and impoverished</w:t>
      </w:r>
      <w:r>
        <w:rPr>
          <w:rFonts w:eastAsia="Times New Roman"/>
          <w:sz w:val="24"/>
          <w:szCs w:val="24"/>
        </w:rPr>
        <w:t>,</w:t>
      </w:r>
      <w:r w:rsidRPr="002A6682">
        <w:rPr>
          <w:rFonts w:eastAsia="Times New Roman"/>
          <w:sz w:val="24"/>
          <w:szCs w:val="24"/>
        </w:rPr>
        <w:t xml:space="preserve"> are by definition unable to pay: if they are “</w:t>
      </w:r>
      <w:r w:rsidRPr="002A6682">
        <w:rPr>
          <w:sz w:val="24"/>
          <w:szCs w:val="24"/>
        </w:rPr>
        <w:t xml:space="preserve">in poverty, it follows that they are unable to pay the costs, and their petition should be granted.” </w:t>
      </w:r>
      <w:r w:rsidR="00C203DC" w:rsidRPr="00390479">
        <w:rPr>
          <w:rFonts w:eastAsia="Times New Roman"/>
          <w:i/>
          <w:sz w:val="24"/>
          <w:szCs w:val="24"/>
        </w:rPr>
        <w:t>Gerlitzki</w:t>
      </w:r>
      <w:r w:rsidR="00C203DC" w:rsidRPr="00390479">
        <w:rPr>
          <w:rFonts w:eastAsia="Times New Roman"/>
          <w:sz w:val="24"/>
          <w:szCs w:val="24"/>
        </w:rPr>
        <w:t>, 307 A.2d at 308</w:t>
      </w:r>
      <w:r w:rsidR="00C203DC">
        <w:rPr>
          <w:rFonts w:eastAsia="Times New Roman"/>
          <w:sz w:val="24"/>
          <w:szCs w:val="24"/>
        </w:rPr>
        <w:t xml:space="preserve">. </w:t>
      </w:r>
      <w:r w:rsidRPr="002A6682">
        <w:rPr>
          <w:sz w:val="24"/>
          <w:szCs w:val="24"/>
        </w:rPr>
        <w:t>In other words, an indigent individual is—as a matter of law—</w:t>
      </w:r>
      <w:r w:rsidRPr="002A6682">
        <w:rPr>
          <w:i/>
          <w:sz w:val="24"/>
          <w:szCs w:val="24"/>
        </w:rPr>
        <w:t>unable</w:t>
      </w:r>
      <w:r w:rsidRPr="002A6682">
        <w:rPr>
          <w:sz w:val="24"/>
          <w:szCs w:val="24"/>
        </w:rPr>
        <w:t xml:space="preserve"> to pay. </w:t>
      </w:r>
      <w:r w:rsidRPr="002A6682">
        <w:rPr>
          <w:i/>
          <w:sz w:val="24"/>
          <w:szCs w:val="24"/>
        </w:rPr>
        <w:t>See Schoepple v. Schoepple</w:t>
      </w:r>
      <w:r w:rsidRPr="002A6682">
        <w:rPr>
          <w:sz w:val="24"/>
          <w:szCs w:val="24"/>
        </w:rPr>
        <w:t xml:space="preserve">, 361 A.2d 665, 667 (Pa. Super Ct. 1976) (en banc) (“[O]ne in poverty will not be able to pay costs.”). </w:t>
      </w:r>
    </w:p>
    <w:p w14:paraId="221B3759" w14:textId="3776ADA7" w:rsidR="00D6142F" w:rsidRPr="002A6682" w:rsidRDefault="00D6142F" w:rsidP="00750A2D">
      <w:pPr>
        <w:pStyle w:val="ListParagraph"/>
        <w:widowControl/>
        <w:numPr>
          <w:ilvl w:val="0"/>
          <w:numId w:val="2"/>
        </w:numPr>
        <w:spacing w:line="480" w:lineRule="auto"/>
        <w:rPr>
          <w:sz w:val="24"/>
          <w:szCs w:val="24"/>
        </w:rPr>
      </w:pPr>
      <w:r w:rsidRPr="002A6682">
        <w:rPr>
          <w:sz w:val="24"/>
          <w:szCs w:val="24"/>
        </w:rPr>
        <w:t xml:space="preserve">The only resources </w:t>
      </w:r>
      <w:r w:rsidR="00750A2D">
        <w:rPr>
          <w:sz w:val="24"/>
          <w:szCs w:val="24"/>
        </w:rPr>
        <w:t xml:space="preserve">that </w:t>
      </w:r>
      <w:r w:rsidR="00750A2D" w:rsidRPr="00750A2D">
        <w:rPr>
          <w:color w:val="FF0000"/>
          <w:sz w:val="24"/>
          <w:szCs w:val="24"/>
        </w:rPr>
        <w:t>Ms. Doe</w:t>
      </w:r>
      <w:r w:rsidRPr="00750A2D">
        <w:rPr>
          <w:color w:val="FF0000"/>
          <w:sz w:val="24"/>
          <w:szCs w:val="24"/>
        </w:rPr>
        <w:t xml:space="preserve"> </w:t>
      </w:r>
      <w:r w:rsidRPr="002A6682">
        <w:rPr>
          <w:sz w:val="24"/>
          <w:szCs w:val="24"/>
        </w:rPr>
        <w:t xml:space="preserve">has </w:t>
      </w:r>
      <w:commentRangeStart w:id="37"/>
      <w:r w:rsidRPr="002A6682">
        <w:rPr>
          <w:sz w:val="24"/>
          <w:szCs w:val="24"/>
          <w:highlight w:val="yellow"/>
        </w:rPr>
        <w:t>come through public assistance because she cannot afford to support herself: SSI, food stamps, and Medicaid.</w:t>
      </w:r>
      <w:r w:rsidRPr="002A6682">
        <w:rPr>
          <w:sz w:val="24"/>
          <w:szCs w:val="24"/>
        </w:rPr>
        <w:t xml:space="preserve"> </w:t>
      </w:r>
      <w:commentRangeEnd w:id="37"/>
      <w:r w:rsidR="00C441D5">
        <w:rPr>
          <w:rStyle w:val="CommentReference"/>
        </w:rPr>
        <w:commentReference w:id="37"/>
      </w:r>
      <w:r w:rsidRPr="002A6682">
        <w:rPr>
          <w:sz w:val="24"/>
          <w:szCs w:val="24"/>
        </w:rPr>
        <w:t xml:space="preserve">Accordingly, she has no ability to pay the costs </w:t>
      </w:r>
      <w:r w:rsidR="00943F58">
        <w:rPr>
          <w:sz w:val="24"/>
          <w:szCs w:val="24"/>
        </w:rPr>
        <w:t xml:space="preserve">or restitution </w:t>
      </w:r>
      <w:r w:rsidRPr="002A6682">
        <w:rPr>
          <w:sz w:val="24"/>
          <w:szCs w:val="24"/>
        </w:rPr>
        <w:t>in this matter.</w:t>
      </w:r>
      <w:r w:rsidR="008B326F">
        <w:rPr>
          <w:sz w:val="24"/>
          <w:szCs w:val="24"/>
        </w:rPr>
        <w:t xml:space="preserve"> </w:t>
      </w:r>
      <w:r w:rsidR="008B326F" w:rsidRPr="000F53F5">
        <w:rPr>
          <w:color w:val="FF0000"/>
          <w:sz w:val="24"/>
          <w:szCs w:val="24"/>
        </w:rPr>
        <w:t>[If she is not disabled, explain why she has made “bona fide efforts” to earn money but still can’t afford the costs, including if her circumstances prevent her from working full time or being able to find full time work because of lack of qualifications/education/transportation.]</w:t>
      </w:r>
    </w:p>
    <w:p w14:paraId="4707343C" w14:textId="03A66E61" w:rsidR="006C3C15" w:rsidRPr="00897C4E" w:rsidRDefault="00897C4E" w:rsidP="00897C4E">
      <w:pPr>
        <w:spacing w:line="480" w:lineRule="auto"/>
        <w:rPr>
          <w:sz w:val="24"/>
          <w:szCs w:val="24"/>
        </w:rPr>
      </w:pPr>
      <w:r>
        <w:rPr>
          <w:sz w:val="24"/>
          <w:szCs w:val="24"/>
        </w:rPr>
        <w:t xml:space="preserve">WHEREFORE, for the reasons stated above, </w:t>
      </w:r>
      <w:r w:rsidR="004C1A9F">
        <w:rPr>
          <w:sz w:val="24"/>
          <w:szCs w:val="24"/>
        </w:rPr>
        <w:t xml:space="preserve">Ms. </w:t>
      </w:r>
      <w:r w:rsidR="004C1A9F" w:rsidRPr="004C1A9F">
        <w:rPr>
          <w:color w:val="FF0000"/>
          <w:sz w:val="24"/>
          <w:szCs w:val="24"/>
        </w:rPr>
        <w:t xml:space="preserve">Doe </w:t>
      </w:r>
      <w:r w:rsidR="004C1A9F">
        <w:rPr>
          <w:sz w:val="24"/>
          <w:szCs w:val="24"/>
        </w:rPr>
        <w:t xml:space="preserve">respectfully requests that this Court </w:t>
      </w:r>
      <w:commentRangeStart w:id="38"/>
      <w:r w:rsidR="00293DFD">
        <w:rPr>
          <w:color w:val="FF0000"/>
          <w:sz w:val="24"/>
          <w:szCs w:val="24"/>
        </w:rPr>
        <w:t>[waive Ms. Doe’s costs and restitution and permit her to complete ARD].</w:t>
      </w:r>
      <w:r w:rsidRPr="00293DFD">
        <w:rPr>
          <w:color w:val="FF0000"/>
          <w:sz w:val="24"/>
          <w:szCs w:val="24"/>
        </w:rPr>
        <w:t xml:space="preserve"> </w:t>
      </w:r>
      <w:commentRangeEnd w:id="38"/>
      <w:r w:rsidR="00293DFD">
        <w:rPr>
          <w:rStyle w:val="CommentReference"/>
        </w:rPr>
        <w:commentReference w:id="38"/>
      </w:r>
    </w:p>
    <w:p w14:paraId="7A6BB2CB" w14:textId="77777777" w:rsidR="006C3C15" w:rsidRPr="001D684D" w:rsidRDefault="006C3C15" w:rsidP="006C3C15">
      <w:pPr>
        <w:spacing w:line="480" w:lineRule="auto"/>
        <w:ind w:left="5040" w:firstLine="720"/>
        <w:rPr>
          <w:sz w:val="24"/>
          <w:szCs w:val="24"/>
        </w:rPr>
      </w:pPr>
    </w:p>
    <w:sectPr w:rsidR="006C3C15" w:rsidRPr="001D68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drew" w:date="2018-12-20T19:43:00Z" w:initials="AC">
    <w:p w14:paraId="709D0EA6" w14:textId="56EC0A4D" w:rsidR="008A23F7" w:rsidRDefault="008A23F7">
      <w:pPr>
        <w:pStyle w:val="CommentText"/>
      </w:pPr>
      <w:r>
        <w:rPr>
          <w:rStyle w:val="CommentReference"/>
        </w:rPr>
        <w:annotationRef/>
      </w:r>
      <w:r>
        <w:t xml:space="preserve">Rather than outright waiver, a defendant may be able to afford to pay a lower amount of ARD. </w:t>
      </w:r>
    </w:p>
  </w:comment>
  <w:comment w:id="3" w:author="Andrew" w:date="2018-12-20T19:41:00Z" w:initials="AC">
    <w:p w14:paraId="571A67C1" w14:textId="7FB8EA1C" w:rsidR="00630159" w:rsidRDefault="00630159">
      <w:pPr>
        <w:pStyle w:val="CommentText"/>
      </w:pPr>
      <w:r>
        <w:rPr>
          <w:rStyle w:val="CommentReference"/>
        </w:rPr>
        <w:annotationRef/>
      </w:r>
      <w:r>
        <w:t xml:space="preserve">This template assumes that the defendant can afford neither costs nor restitution. Customize it based on the defendant’s circumstances. </w:t>
      </w:r>
      <w:r w:rsidR="00832FCA">
        <w:t>Be sure to remove any references to restitution throughout if the defendant does not owe any restitution.</w:t>
      </w:r>
    </w:p>
  </w:comment>
  <w:comment w:id="4" w:author="Andrew" w:date="2018-12-20T19:52:00Z" w:initials="AC">
    <w:p w14:paraId="4CAC680C" w14:textId="4CA8975F" w:rsidR="005A3504" w:rsidRDefault="005A3504">
      <w:pPr>
        <w:pStyle w:val="CommentText"/>
      </w:pPr>
      <w:r>
        <w:rPr>
          <w:rStyle w:val="CommentReference"/>
        </w:rPr>
        <w:annotationRef/>
      </w:r>
      <w:r>
        <w:t xml:space="preserve">A defendant need not be indigent to have costs </w:t>
      </w:r>
      <w:r w:rsidR="00F407ED">
        <w:t xml:space="preserve">or restitution </w:t>
      </w:r>
      <w:r>
        <w:t xml:space="preserve">reduced, but if the defendant is indigent, highlight that. </w:t>
      </w:r>
    </w:p>
  </w:comment>
  <w:comment w:id="33" w:author="Andrew" w:date="2019-01-31T13:57:00Z" w:initials="AC">
    <w:p w14:paraId="4D0931D6" w14:textId="1CC7FC0C" w:rsidR="000F53F5" w:rsidRDefault="000F53F5">
      <w:pPr>
        <w:pStyle w:val="CommentText"/>
      </w:pPr>
      <w:r>
        <w:rPr>
          <w:rStyle w:val="CommentReference"/>
        </w:rPr>
        <w:annotationRef/>
      </w:r>
      <w:r>
        <w:t>Drop this paragraph if restitution is not a condition</w:t>
      </w:r>
    </w:p>
  </w:comment>
  <w:comment w:id="34" w:author="Andrew" w:date="2018-12-20T20:09:00Z" w:initials="AC">
    <w:p w14:paraId="2988EA3A" w14:textId="6B4CF8BF" w:rsidR="009B7F2D" w:rsidRDefault="009B7F2D">
      <w:pPr>
        <w:pStyle w:val="CommentText"/>
      </w:pPr>
      <w:r>
        <w:rPr>
          <w:rStyle w:val="CommentReference"/>
        </w:rPr>
        <w:annotationRef/>
      </w:r>
      <w:r>
        <w:t xml:space="preserve">Either use this paragraph </w:t>
      </w:r>
      <w:r>
        <w:rPr>
          <w:i/>
        </w:rPr>
        <w:t>or</w:t>
      </w:r>
      <w:r>
        <w:t xml:space="preserve"> the </w:t>
      </w:r>
      <w:r w:rsidR="000F53F5">
        <w:t>next</w:t>
      </w:r>
      <w:r>
        <w:t xml:space="preserve"> paragraph. </w:t>
      </w:r>
    </w:p>
    <w:p w14:paraId="048E72FD" w14:textId="77777777" w:rsidR="009B7F2D" w:rsidRDefault="009B7F2D">
      <w:pPr>
        <w:pStyle w:val="CommentText"/>
      </w:pPr>
    </w:p>
    <w:p w14:paraId="67DE0510" w14:textId="77777777" w:rsidR="009B7F2D" w:rsidRPr="009B7F2D" w:rsidRDefault="009B7F2D">
      <w:pPr>
        <w:pStyle w:val="CommentText"/>
      </w:pPr>
      <w:r>
        <w:t xml:space="preserve">This paragraph is about not kicking a defendant off of ARD because she cannot afford to pay. It could be used in opposition to the DA’s motion to terminate ARD, or it could be used as part of a motion for reconsideration. </w:t>
      </w:r>
    </w:p>
  </w:comment>
  <w:comment w:id="35" w:author="Andrew" w:date="2018-12-20T20:11:00Z" w:initials="AC">
    <w:p w14:paraId="57A4AFE9" w14:textId="521A7FD5" w:rsidR="00081E6F" w:rsidRDefault="00081E6F">
      <w:pPr>
        <w:pStyle w:val="CommentText"/>
      </w:pPr>
      <w:r>
        <w:rPr>
          <w:rStyle w:val="CommentReference"/>
        </w:rPr>
        <w:annotationRef/>
      </w:r>
      <w:r>
        <w:t xml:space="preserve">Again, either use the preceding paragraph </w:t>
      </w:r>
      <w:r>
        <w:rPr>
          <w:i/>
        </w:rPr>
        <w:t>or</w:t>
      </w:r>
      <w:r>
        <w:t xml:space="preserve"> this paragraph.</w:t>
      </w:r>
    </w:p>
    <w:p w14:paraId="0CE6359F" w14:textId="77777777" w:rsidR="00081E6F" w:rsidRDefault="00081E6F">
      <w:pPr>
        <w:pStyle w:val="CommentText"/>
      </w:pPr>
    </w:p>
    <w:p w14:paraId="4ED119BF" w14:textId="2C278A9C" w:rsidR="00081E6F" w:rsidRPr="00081E6F" w:rsidRDefault="00081E6F">
      <w:pPr>
        <w:pStyle w:val="CommentText"/>
      </w:pPr>
      <w:r>
        <w:t xml:space="preserve">This paragraph should be used if you are asking the judge to find that the defendant has completed the terms of ARD and should waive costs/restitution so that the defendant can graduate. </w:t>
      </w:r>
    </w:p>
  </w:comment>
  <w:comment w:id="36" w:author="Andrew" w:date="2018-12-20T20:14:00Z" w:initials="AC">
    <w:p w14:paraId="16E4BD72" w14:textId="518A913E" w:rsidR="00EC0CCF" w:rsidRDefault="00EC0CCF">
      <w:pPr>
        <w:pStyle w:val="CommentText"/>
      </w:pPr>
      <w:r>
        <w:rPr>
          <w:rStyle w:val="CommentReference"/>
        </w:rPr>
        <w:annotationRef/>
      </w:r>
      <w:r>
        <w:t xml:space="preserve">It may be appropriate here to add something about allowing the defendant to complete alternatives to payment, such as community service. </w:t>
      </w:r>
    </w:p>
  </w:comment>
  <w:comment w:id="37" w:author="Andrew" w:date="2018-12-20T20:16:00Z" w:initials="AC">
    <w:p w14:paraId="499C24B5" w14:textId="40D029E9" w:rsidR="00C441D5" w:rsidRDefault="00C441D5">
      <w:pPr>
        <w:pStyle w:val="CommentText"/>
      </w:pPr>
      <w:r>
        <w:rPr>
          <w:rStyle w:val="CommentReference"/>
        </w:rPr>
        <w:annotationRef/>
      </w:r>
      <w:r>
        <w:t xml:space="preserve">Provide whatever details are relevant about the defendant’s financial circumstances. </w:t>
      </w:r>
    </w:p>
  </w:comment>
  <w:comment w:id="38" w:author="Andrew" w:date="2018-12-20T20:16:00Z" w:initials="AC">
    <w:p w14:paraId="22E53304" w14:textId="14DD211F" w:rsidR="00293DFD" w:rsidRDefault="00293DFD">
      <w:pPr>
        <w:pStyle w:val="CommentText"/>
      </w:pPr>
      <w:r>
        <w:rPr>
          <w:rStyle w:val="CommentReference"/>
        </w:rPr>
        <w:annotationRef/>
      </w:r>
      <w:r>
        <w:t>Restate whatever relief you are looking for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D0EA6" w15:done="0"/>
  <w15:commentEx w15:paraId="571A67C1" w15:done="0"/>
  <w15:commentEx w15:paraId="4CAC680C" w15:done="0"/>
  <w15:commentEx w15:paraId="4D0931D6" w15:done="0"/>
  <w15:commentEx w15:paraId="67DE0510" w15:done="0"/>
  <w15:commentEx w15:paraId="4ED119BF" w15:done="0"/>
  <w15:commentEx w15:paraId="16E4BD72" w15:done="0"/>
  <w15:commentEx w15:paraId="499C24B5" w15:done="0"/>
  <w15:commentEx w15:paraId="22E533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55D4F" w14:textId="77777777" w:rsidR="00B5572D" w:rsidRDefault="00B5572D" w:rsidP="00144746">
      <w:r>
        <w:separator/>
      </w:r>
    </w:p>
  </w:endnote>
  <w:endnote w:type="continuationSeparator" w:id="0">
    <w:p w14:paraId="0D348760" w14:textId="77777777" w:rsidR="00B5572D" w:rsidRDefault="00B5572D"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9BA7" w14:textId="77777777" w:rsidR="000C6E3E" w:rsidRDefault="000C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104B6725" w14:textId="594607FA" w:rsidR="000C6E3E" w:rsidRDefault="000C6E3E">
        <w:pPr>
          <w:pStyle w:val="Footer"/>
          <w:jc w:val="center"/>
        </w:pPr>
        <w:r>
          <w:fldChar w:fldCharType="begin"/>
        </w:r>
        <w:r>
          <w:instrText xml:space="preserve"> PAGE   \* MERGEFORMAT </w:instrText>
        </w:r>
        <w:r>
          <w:fldChar w:fldCharType="separate"/>
        </w:r>
        <w:r w:rsidR="008F298E">
          <w:rPr>
            <w:noProof/>
          </w:rPr>
          <w:t>3</w:t>
        </w:r>
        <w:r>
          <w:rPr>
            <w:noProof/>
          </w:rPr>
          <w:fldChar w:fldCharType="end"/>
        </w:r>
      </w:p>
    </w:sdtContent>
  </w:sdt>
  <w:p w14:paraId="37C0AA11" w14:textId="77777777" w:rsidR="000C6E3E" w:rsidRDefault="000C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2329" w14:textId="77777777" w:rsidR="000C6E3E" w:rsidRDefault="000C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ED232" w14:textId="77777777" w:rsidR="00B5572D" w:rsidRDefault="00B5572D" w:rsidP="00144746">
      <w:r>
        <w:separator/>
      </w:r>
    </w:p>
  </w:footnote>
  <w:footnote w:type="continuationSeparator" w:id="0">
    <w:p w14:paraId="69386F76" w14:textId="77777777" w:rsidR="00B5572D" w:rsidRDefault="00B5572D" w:rsidP="00144746">
      <w:r>
        <w:continuationSeparator/>
      </w:r>
    </w:p>
  </w:footnote>
  <w:footnote w:id="1">
    <w:p w14:paraId="7CAD619B" w14:textId="77777777" w:rsidR="00D6142F" w:rsidRPr="005752C5" w:rsidRDefault="00D6142F" w:rsidP="00D6142F">
      <w:pPr>
        <w:pStyle w:val="FootnoteText"/>
        <w:rPr>
          <w:rFonts w:eastAsia="Times New Roman" w:cs="Times New Roman"/>
        </w:rPr>
      </w:pPr>
      <w:r w:rsidRPr="005752C5">
        <w:rPr>
          <w:rStyle w:val="FootnoteReference"/>
        </w:rPr>
        <w:footnoteRef/>
      </w:r>
      <w:r w:rsidRPr="005752C5">
        <w:t xml:space="preserve"> These standards come from the civil </w:t>
      </w:r>
      <w:r w:rsidRPr="005752C5">
        <w:rPr>
          <w:i/>
        </w:rPr>
        <w:t>in forma pauperis</w:t>
      </w:r>
      <w:r w:rsidRPr="005752C5">
        <w:t xml:space="preserve"> case law, which the Superior Court has repeatedly incorporated into the criminal case law as the “established processes for assessing indigency,” </w:t>
      </w:r>
      <w:r w:rsidRPr="005752C5">
        <w:rPr>
          <w:i/>
        </w:rPr>
        <w:t>Commonwealth v. Cannon</w:t>
      </w:r>
      <w:r w:rsidRPr="005752C5">
        <w:t xml:space="preserve">, 954 A.2d 1222, 1226 (Pa. Super. Ct. 2008), because of the </w:t>
      </w:r>
      <w:r w:rsidRPr="005752C5">
        <w:rPr>
          <w:rFonts w:eastAsia="Times New Roman"/>
        </w:rPr>
        <w:t>“dearth of case law” in criminal cases, compared with the “well-established principles governing indigency in civil cases.”</w:t>
      </w:r>
      <w:r w:rsidRPr="005752C5">
        <w:t xml:space="preserve"> </w:t>
      </w:r>
      <w:r w:rsidRPr="005752C5">
        <w:rPr>
          <w:rFonts w:eastAsia="Times New Roman"/>
          <w:i/>
        </w:rPr>
        <w:t>Commonwealth v. Lepre</w:t>
      </w:r>
      <w:r w:rsidRPr="005752C5">
        <w:rPr>
          <w:rFonts w:eastAsia="Times New Roman"/>
        </w:rPr>
        <w:t xml:space="preserve">, 18 A.3d 1225, 1226 (Pa. Super. Ct. 2011). </w:t>
      </w:r>
    </w:p>
    <w:p w14:paraId="22867DBB" w14:textId="77777777" w:rsidR="00D6142F" w:rsidRPr="005752C5" w:rsidRDefault="00D6142F" w:rsidP="00D6142F">
      <w:pPr>
        <w:pStyle w:val="FootnoteText"/>
        <w:rPr>
          <w:rFonts w:eastAsia="Times New Roman" w:cs="Times New Roman"/>
        </w:rPr>
      </w:pPr>
    </w:p>
    <w:p w14:paraId="1C9243AE" w14:textId="77777777" w:rsidR="00D6142F" w:rsidRPr="005752C5" w:rsidRDefault="00D6142F" w:rsidP="00D6142F">
      <w:pPr>
        <w:pStyle w:val="FootnoteText"/>
      </w:pPr>
      <w:r w:rsidRPr="005752C5">
        <w:t xml:space="preserve">Pennsylvania courts use “poverty” and “indigent” interchangeably, and there is no legal distinction between the two terms. </w:t>
      </w:r>
      <w:r w:rsidRPr="005752C5">
        <w:rPr>
          <w:i/>
        </w:rPr>
        <w:t>See</w:t>
      </w:r>
      <w:r w:rsidRPr="005752C5">
        <w:t xml:space="preserve">, </w:t>
      </w:r>
      <w:r w:rsidRPr="005752C5">
        <w:rPr>
          <w:i/>
        </w:rPr>
        <w:t>e.g.</w:t>
      </w:r>
      <w:r w:rsidRPr="005752C5">
        <w:t xml:space="preserve">, </w:t>
      </w:r>
      <w:r w:rsidRPr="005752C5">
        <w:rPr>
          <w:rStyle w:val="cohighlightpoints"/>
          <w:i/>
        </w:rPr>
        <w:t>Commonwealth v. Hernandez</w:t>
      </w:r>
      <w:r w:rsidRPr="005752C5">
        <w:rPr>
          <w:rStyle w:val="cohighlightpoints"/>
        </w:rPr>
        <w:t>, 917 A.2d 332 (Pa. Super. Ct. 2007);</w:t>
      </w:r>
      <w:r w:rsidRPr="005752C5">
        <w:t xml:space="preserve"> </w:t>
      </w:r>
      <w:r w:rsidRPr="005752C5">
        <w:rPr>
          <w:rFonts w:eastAsia="Times New Roman" w:cs="Times New Roman"/>
          <w:i/>
        </w:rPr>
        <w:t>Crosby Square Apartments v. Henson</w:t>
      </w:r>
      <w:r w:rsidRPr="005752C5">
        <w:rPr>
          <w:rFonts w:eastAsia="Times New Roman" w:cs="Times New Roman"/>
        </w:rPr>
        <w:t xml:space="preserve">, 666 A.2d 737 (Pa. Super. Ct. 1995); </w:t>
      </w:r>
      <w:r w:rsidRPr="005752C5">
        <w:rPr>
          <w:i/>
        </w:rPr>
        <w:t>Commonwealth v. Regan</w:t>
      </w:r>
      <w:r w:rsidRPr="005752C5">
        <w:t>, 359 A.2d 403 (Pa. Super. Ct. 1976). Accordingly, cases that set forth standards for determining whether an individual is in poverty are equally applicable to the inquiry under Rule 706 of whether a defendant is indigent.</w:t>
      </w:r>
    </w:p>
    <w:p w14:paraId="323B2E66" w14:textId="77777777" w:rsidR="00D6142F" w:rsidRPr="009F2DBB" w:rsidRDefault="00D6142F" w:rsidP="00D614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44A9" w14:textId="77777777" w:rsidR="000C6E3E" w:rsidRDefault="000C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24C9" w14:textId="77777777" w:rsidR="000C6E3E" w:rsidRDefault="000C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492C" w14:textId="77777777" w:rsidR="000C6E3E" w:rsidRDefault="000C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C5E50"/>
    <w:multiLevelType w:val="hybridMultilevel"/>
    <w:tmpl w:val="D41E2D56"/>
    <w:lvl w:ilvl="0" w:tplc="C49E6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07013"/>
    <w:multiLevelType w:val="hybridMultilevel"/>
    <w:tmpl w:val="8110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C3EBA"/>
    <w:multiLevelType w:val="hybridMultilevel"/>
    <w:tmpl w:val="83AA946A"/>
    <w:lvl w:ilvl="0" w:tplc="8124B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3EF15B23"/>
    <w:multiLevelType w:val="hybridMultilevel"/>
    <w:tmpl w:val="D698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D67A2"/>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6"/>
  </w:num>
  <w:num w:numId="4">
    <w:abstractNumId w:val="4"/>
  </w:num>
  <w:num w:numId="5">
    <w:abstractNumId w:val="9"/>
  </w:num>
  <w:num w:numId="6">
    <w:abstractNumId w:val="2"/>
  </w:num>
  <w:num w:numId="7">
    <w:abstractNumId w:val="11"/>
  </w:num>
  <w:num w:numId="8">
    <w:abstractNumId w:val="1"/>
  </w:num>
  <w:num w:numId="9">
    <w:abstractNumId w:val="7"/>
  </w:num>
  <w:num w:numId="10">
    <w:abstractNumId w:val="15"/>
  </w:num>
  <w:num w:numId="11">
    <w:abstractNumId w:val="3"/>
  </w:num>
  <w:num w:numId="12">
    <w:abstractNumId w:val="13"/>
  </w:num>
  <w:num w:numId="13">
    <w:abstractNumId w:val="5"/>
  </w:num>
  <w:num w:numId="14">
    <w:abstractNumId w:val="8"/>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2094"/>
    <w:rsid w:val="0001718C"/>
    <w:rsid w:val="0002035E"/>
    <w:rsid w:val="00033274"/>
    <w:rsid w:val="000479DA"/>
    <w:rsid w:val="000563CA"/>
    <w:rsid w:val="00056F32"/>
    <w:rsid w:val="00075AB0"/>
    <w:rsid w:val="00081E6F"/>
    <w:rsid w:val="00082EEA"/>
    <w:rsid w:val="00091533"/>
    <w:rsid w:val="0009177F"/>
    <w:rsid w:val="00093707"/>
    <w:rsid w:val="00096B1E"/>
    <w:rsid w:val="000A26C7"/>
    <w:rsid w:val="000A2E5B"/>
    <w:rsid w:val="000B03D4"/>
    <w:rsid w:val="000B757E"/>
    <w:rsid w:val="000C6E3E"/>
    <w:rsid w:val="000D4747"/>
    <w:rsid w:val="000D546A"/>
    <w:rsid w:val="000E58C8"/>
    <w:rsid w:val="000E7E16"/>
    <w:rsid w:val="000F4477"/>
    <w:rsid w:val="000F53F5"/>
    <w:rsid w:val="00103E6C"/>
    <w:rsid w:val="001072F2"/>
    <w:rsid w:val="00107F3C"/>
    <w:rsid w:val="00124E0D"/>
    <w:rsid w:val="001300D7"/>
    <w:rsid w:val="00130DAD"/>
    <w:rsid w:val="00144746"/>
    <w:rsid w:val="00145C41"/>
    <w:rsid w:val="00157409"/>
    <w:rsid w:val="001A0C90"/>
    <w:rsid w:val="001A657C"/>
    <w:rsid w:val="001B1BFC"/>
    <w:rsid w:val="001B7575"/>
    <w:rsid w:val="001B761E"/>
    <w:rsid w:val="001C3868"/>
    <w:rsid w:val="001D479B"/>
    <w:rsid w:val="001D59AC"/>
    <w:rsid w:val="001D684D"/>
    <w:rsid w:val="001E3343"/>
    <w:rsid w:val="001F2FAC"/>
    <w:rsid w:val="002048E9"/>
    <w:rsid w:val="002056DA"/>
    <w:rsid w:val="002223D8"/>
    <w:rsid w:val="00237AF0"/>
    <w:rsid w:val="00241ED1"/>
    <w:rsid w:val="0024603A"/>
    <w:rsid w:val="00257A74"/>
    <w:rsid w:val="00263BF3"/>
    <w:rsid w:val="002653F0"/>
    <w:rsid w:val="00276F8D"/>
    <w:rsid w:val="0027759B"/>
    <w:rsid w:val="00277D58"/>
    <w:rsid w:val="00281437"/>
    <w:rsid w:val="00293DFD"/>
    <w:rsid w:val="00294B53"/>
    <w:rsid w:val="002A40AA"/>
    <w:rsid w:val="002C6F94"/>
    <w:rsid w:val="002D0767"/>
    <w:rsid w:val="002D1B70"/>
    <w:rsid w:val="002E496F"/>
    <w:rsid w:val="002E7F70"/>
    <w:rsid w:val="002F2438"/>
    <w:rsid w:val="0030369F"/>
    <w:rsid w:val="003064A2"/>
    <w:rsid w:val="003156A2"/>
    <w:rsid w:val="00321A6B"/>
    <w:rsid w:val="00326E1C"/>
    <w:rsid w:val="003352AA"/>
    <w:rsid w:val="003409B0"/>
    <w:rsid w:val="00347410"/>
    <w:rsid w:val="00367F1B"/>
    <w:rsid w:val="0038026A"/>
    <w:rsid w:val="00390479"/>
    <w:rsid w:val="00395E89"/>
    <w:rsid w:val="00396528"/>
    <w:rsid w:val="003A16D0"/>
    <w:rsid w:val="003A34CD"/>
    <w:rsid w:val="003A6AF4"/>
    <w:rsid w:val="003B0909"/>
    <w:rsid w:val="003B4B3F"/>
    <w:rsid w:val="003B7A5A"/>
    <w:rsid w:val="003D29FA"/>
    <w:rsid w:val="003D43EA"/>
    <w:rsid w:val="003D7ECB"/>
    <w:rsid w:val="003E0A59"/>
    <w:rsid w:val="003E35C1"/>
    <w:rsid w:val="003E4650"/>
    <w:rsid w:val="003F1B67"/>
    <w:rsid w:val="003F1DEF"/>
    <w:rsid w:val="003F1F06"/>
    <w:rsid w:val="003F6E35"/>
    <w:rsid w:val="003F78A1"/>
    <w:rsid w:val="004018CC"/>
    <w:rsid w:val="00405013"/>
    <w:rsid w:val="004114FA"/>
    <w:rsid w:val="004271A2"/>
    <w:rsid w:val="004300AE"/>
    <w:rsid w:val="00443058"/>
    <w:rsid w:val="00450D06"/>
    <w:rsid w:val="004528D2"/>
    <w:rsid w:val="0045336A"/>
    <w:rsid w:val="004539BB"/>
    <w:rsid w:val="00454A5D"/>
    <w:rsid w:val="00457460"/>
    <w:rsid w:val="00463E7E"/>
    <w:rsid w:val="00473EE3"/>
    <w:rsid w:val="004926D3"/>
    <w:rsid w:val="004A0631"/>
    <w:rsid w:val="004A30BB"/>
    <w:rsid w:val="004A6316"/>
    <w:rsid w:val="004C1A9F"/>
    <w:rsid w:val="004D483C"/>
    <w:rsid w:val="004D6BE6"/>
    <w:rsid w:val="004E184D"/>
    <w:rsid w:val="004E2A4E"/>
    <w:rsid w:val="004E63E6"/>
    <w:rsid w:val="004E6C4B"/>
    <w:rsid w:val="00503D4A"/>
    <w:rsid w:val="00514342"/>
    <w:rsid w:val="00523BAD"/>
    <w:rsid w:val="005249D1"/>
    <w:rsid w:val="005265DE"/>
    <w:rsid w:val="005347C2"/>
    <w:rsid w:val="005419B6"/>
    <w:rsid w:val="00576108"/>
    <w:rsid w:val="005801A8"/>
    <w:rsid w:val="00581E6D"/>
    <w:rsid w:val="0058663B"/>
    <w:rsid w:val="00592543"/>
    <w:rsid w:val="005A3504"/>
    <w:rsid w:val="005C58AE"/>
    <w:rsid w:val="005C5D58"/>
    <w:rsid w:val="005D682C"/>
    <w:rsid w:val="005E0D0E"/>
    <w:rsid w:val="005E66D4"/>
    <w:rsid w:val="00601804"/>
    <w:rsid w:val="00610056"/>
    <w:rsid w:val="00614910"/>
    <w:rsid w:val="00620A46"/>
    <w:rsid w:val="0062693C"/>
    <w:rsid w:val="0063005C"/>
    <w:rsid w:val="00630159"/>
    <w:rsid w:val="00630455"/>
    <w:rsid w:val="00637568"/>
    <w:rsid w:val="00643117"/>
    <w:rsid w:val="006575A3"/>
    <w:rsid w:val="006653EF"/>
    <w:rsid w:val="00676D1A"/>
    <w:rsid w:val="00676E93"/>
    <w:rsid w:val="0068672E"/>
    <w:rsid w:val="00692D5D"/>
    <w:rsid w:val="006A01B1"/>
    <w:rsid w:val="006A6BC9"/>
    <w:rsid w:val="006C3C15"/>
    <w:rsid w:val="006D70D9"/>
    <w:rsid w:val="006E417C"/>
    <w:rsid w:val="006E6085"/>
    <w:rsid w:val="006F06A5"/>
    <w:rsid w:val="006F47B4"/>
    <w:rsid w:val="006F745A"/>
    <w:rsid w:val="007058DB"/>
    <w:rsid w:val="00705B96"/>
    <w:rsid w:val="007253DB"/>
    <w:rsid w:val="00725C7F"/>
    <w:rsid w:val="00731A27"/>
    <w:rsid w:val="00734BB0"/>
    <w:rsid w:val="0074263E"/>
    <w:rsid w:val="00743725"/>
    <w:rsid w:val="007457EE"/>
    <w:rsid w:val="007463AF"/>
    <w:rsid w:val="007508FA"/>
    <w:rsid w:val="00750A2D"/>
    <w:rsid w:val="007579AF"/>
    <w:rsid w:val="00765B04"/>
    <w:rsid w:val="00776EA4"/>
    <w:rsid w:val="00782680"/>
    <w:rsid w:val="007A1640"/>
    <w:rsid w:val="007A756B"/>
    <w:rsid w:val="007B7D50"/>
    <w:rsid w:val="007D2CBD"/>
    <w:rsid w:val="007D5CBC"/>
    <w:rsid w:val="007F4D16"/>
    <w:rsid w:val="007F6D24"/>
    <w:rsid w:val="00804E2C"/>
    <w:rsid w:val="00806EBD"/>
    <w:rsid w:val="00807101"/>
    <w:rsid w:val="00807D29"/>
    <w:rsid w:val="00811848"/>
    <w:rsid w:val="00820686"/>
    <w:rsid w:val="008207C2"/>
    <w:rsid w:val="00832FCA"/>
    <w:rsid w:val="0083399C"/>
    <w:rsid w:val="00844EB6"/>
    <w:rsid w:val="00861A96"/>
    <w:rsid w:val="00865966"/>
    <w:rsid w:val="00873F59"/>
    <w:rsid w:val="0087683A"/>
    <w:rsid w:val="00887138"/>
    <w:rsid w:val="00897C4E"/>
    <w:rsid w:val="008A23F7"/>
    <w:rsid w:val="008B10F2"/>
    <w:rsid w:val="008B326F"/>
    <w:rsid w:val="008B4037"/>
    <w:rsid w:val="008C4D7E"/>
    <w:rsid w:val="008D7A22"/>
    <w:rsid w:val="008E2EBB"/>
    <w:rsid w:val="008F298E"/>
    <w:rsid w:val="008F3DBC"/>
    <w:rsid w:val="008F41EB"/>
    <w:rsid w:val="00906374"/>
    <w:rsid w:val="0091177B"/>
    <w:rsid w:val="00911C14"/>
    <w:rsid w:val="00926AEA"/>
    <w:rsid w:val="0092745B"/>
    <w:rsid w:val="009312B3"/>
    <w:rsid w:val="00943F58"/>
    <w:rsid w:val="00946516"/>
    <w:rsid w:val="00946BF9"/>
    <w:rsid w:val="00950307"/>
    <w:rsid w:val="00950A22"/>
    <w:rsid w:val="00950F69"/>
    <w:rsid w:val="00965319"/>
    <w:rsid w:val="009751D5"/>
    <w:rsid w:val="009766CA"/>
    <w:rsid w:val="009831C6"/>
    <w:rsid w:val="009837CD"/>
    <w:rsid w:val="009864F3"/>
    <w:rsid w:val="00993046"/>
    <w:rsid w:val="009A0F8E"/>
    <w:rsid w:val="009B326F"/>
    <w:rsid w:val="009B7F2D"/>
    <w:rsid w:val="009D1816"/>
    <w:rsid w:val="009F2DBB"/>
    <w:rsid w:val="00A024FF"/>
    <w:rsid w:val="00A03B6C"/>
    <w:rsid w:val="00A056EB"/>
    <w:rsid w:val="00A1533B"/>
    <w:rsid w:val="00A15AF2"/>
    <w:rsid w:val="00A30886"/>
    <w:rsid w:val="00A32F6E"/>
    <w:rsid w:val="00A34905"/>
    <w:rsid w:val="00A35AEC"/>
    <w:rsid w:val="00A4084A"/>
    <w:rsid w:val="00A423B7"/>
    <w:rsid w:val="00A554B3"/>
    <w:rsid w:val="00A600F5"/>
    <w:rsid w:val="00A61B5D"/>
    <w:rsid w:val="00A71B8A"/>
    <w:rsid w:val="00A746B5"/>
    <w:rsid w:val="00A91E14"/>
    <w:rsid w:val="00A954D4"/>
    <w:rsid w:val="00AC4BB3"/>
    <w:rsid w:val="00AC5DF0"/>
    <w:rsid w:val="00AD6CB1"/>
    <w:rsid w:val="00B04781"/>
    <w:rsid w:val="00B13F5E"/>
    <w:rsid w:val="00B14A16"/>
    <w:rsid w:val="00B17F18"/>
    <w:rsid w:val="00B24C5E"/>
    <w:rsid w:val="00B37330"/>
    <w:rsid w:val="00B50A2C"/>
    <w:rsid w:val="00B540FD"/>
    <w:rsid w:val="00B5572D"/>
    <w:rsid w:val="00B622F3"/>
    <w:rsid w:val="00B700C6"/>
    <w:rsid w:val="00B71A0B"/>
    <w:rsid w:val="00B7460A"/>
    <w:rsid w:val="00B81912"/>
    <w:rsid w:val="00B82B28"/>
    <w:rsid w:val="00B93088"/>
    <w:rsid w:val="00BC24C7"/>
    <w:rsid w:val="00BC4977"/>
    <w:rsid w:val="00BC721E"/>
    <w:rsid w:val="00BD4660"/>
    <w:rsid w:val="00BD5ED9"/>
    <w:rsid w:val="00BE2901"/>
    <w:rsid w:val="00BE5FF7"/>
    <w:rsid w:val="00BF3FEB"/>
    <w:rsid w:val="00C032DC"/>
    <w:rsid w:val="00C06B01"/>
    <w:rsid w:val="00C102C3"/>
    <w:rsid w:val="00C20307"/>
    <w:rsid w:val="00C203DC"/>
    <w:rsid w:val="00C310E4"/>
    <w:rsid w:val="00C31B03"/>
    <w:rsid w:val="00C441D5"/>
    <w:rsid w:val="00C504D6"/>
    <w:rsid w:val="00C621F0"/>
    <w:rsid w:val="00C80A79"/>
    <w:rsid w:val="00C869F9"/>
    <w:rsid w:val="00C87724"/>
    <w:rsid w:val="00CB0FF9"/>
    <w:rsid w:val="00CC2635"/>
    <w:rsid w:val="00CC5F1A"/>
    <w:rsid w:val="00CC7B27"/>
    <w:rsid w:val="00CD1E8C"/>
    <w:rsid w:val="00CE28F9"/>
    <w:rsid w:val="00CE2E6D"/>
    <w:rsid w:val="00CE3B9B"/>
    <w:rsid w:val="00CF097A"/>
    <w:rsid w:val="00CF0E31"/>
    <w:rsid w:val="00CF37D5"/>
    <w:rsid w:val="00D04099"/>
    <w:rsid w:val="00D0499A"/>
    <w:rsid w:val="00D07154"/>
    <w:rsid w:val="00D255D6"/>
    <w:rsid w:val="00D41E07"/>
    <w:rsid w:val="00D55D8F"/>
    <w:rsid w:val="00D57DC5"/>
    <w:rsid w:val="00D6142F"/>
    <w:rsid w:val="00D6442B"/>
    <w:rsid w:val="00D659A1"/>
    <w:rsid w:val="00D66646"/>
    <w:rsid w:val="00D74052"/>
    <w:rsid w:val="00D77F54"/>
    <w:rsid w:val="00DA0D7A"/>
    <w:rsid w:val="00DB2FD9"/>
    <w:rsid w:val="00DE17F8"/>
    <w:rsid w:val="00DF5421"/>
    <w:rsid w:val="00E0082E"/>
    <w:rsid w:val="00E041A3"/>
    <w:rsid w:val="00E060CD"/>
    <w:rsid w:val="00E06C7B"/>
    <w:rsid w:val="00E21544"/>
    <w:rsid w:val="00E26DE6"/>
    <w:rsid w:val="00E453AA"/>
    <w:rsid w:val="00E6570C"/>
    <w:rsid w:val="00E6696D"/>
    <w:rsid w:val="00E82333"/>
    <w:rsid w:val="00E951FB"/>
    <w:rsid w:val="00E97522"/>
    <w:rsid w:val="00EA15DA"/>
    <w:rsid w:val="00EA3BBE"/>
    <w:rsid w:val="00EA67F9"/>
    <w:rsid w:val="00EB776C"/>
    <w:rsid w:val="00EC0CCF"/>
    <w:rsid w:val="00EC2014"/>
    <w:rsid w:val="00EC26B4"/>
    <w:rsid w:val="00EC3608"/>
    <w:rsid w:val="00EC5C0A"/>
    <w:rsid w:val="00ED5560"/>
    <w:rsid w:val="00F056DD"/>
    <w:rsid w:val="00F05973"/>
    <w:rsid w:val="00F20245"/>
    <w:rsid w:val="00F23E63"/>
    <w:rsid w:val="00F25C04"/>
    <w:rsid w:val="00F407ED"/>
    <w:rsid w:val="00F50186"/>
    <w:rsid w:val="00F56D94"/>
    <w:rsid w:val="00F5771E"/>
    <w:rsid w:val="00F6034F"/>
    <w:rsid w:val="00F60E58"/>
    <w:rsid w:val="00F61FE5"/>
    <w:rsid w:val="00F90DAD"/>
    <w:rsid w:val="00F93CDF"/>
    <w:rsid w:val="00FA1631"/>
    <w:rsid w:val="00FA19D1"/>
    <w:rsid w:val="00FA3773"/>
    <w:rsid w:val="00FA5163"/>
    <w:rsid w:val="00FB1673"/>
    <w:rsid w:val="00FB71F7"/>
    <w:rsid w:val="00FC2BDC"/>
    <w:rsid w:val="00FC4492"/>
    <w:rsid w:val="00FC5CA3"/>
    <w:rsid w:val="00FD25AB"/>
    <w:rsid w:val="00FD5D6E"/>
    <w:rsid w:val="00FE630D"/>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50E0"/>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4A30BB"/>
    <w:pPr>
      <w:keepNext/>
      <w:keepLines/>
      <w:widowControl/>
      <w:autoSpaceDE/>
      <w:autoSpaceDN/>
      <w:adjustRightInd/>
      <w:contextualSpacing/>
      <w:outlineLvl w:val="0"/>
    </w:pPr>
    <w:rPr>
      <w:rFonts w:eastAsiaTheme="majorEastAsia"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1Char">
    <w:name w:val="Heading 1 Char"/>
    <w:basedOn w:val="DefaultParagraphFont"/>
    <w:link w:val="Heading1"/>
    <w:uiPriority w:val="9"/>
    <w:rsid w:val="004A30BB"/>
    <w:rPr>
      <w:rFonts w:ascii="Times New Roman" w:eastAsiaTheme="majorEastAsia" w:hAnsi="Times New Roman" w:cstheme="majorBidi"/>
      <w:b/>
      <w:color w:val="2E74B5"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9542-2FE6-48F7-838E-33545393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5</cp:revision>
  <cp:lastPrinted>2018-04-23T14:47:00Z</cp:lastPrinted>
  <dcterms:created xsi:type="dcterms:W3CDTF">2019-01-31T19:01:00Z</dcterms:created>
  <dcterms:modified xsi:type="dcterms:W3CDTF">2019-01-31T19:47:00Z</dcterms:modified>
</cp:coreProperties>
</file>