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DD083" w14:textId="77777777" w:rsidR="00AB1871" w:rsidRPr="000E58C8" w:rsidRDefault="00AB1871" w:rsidP="00AB1871">
      <w:pPr>
        <w:jc w:val="center"/>
        <w:outlineLvl w:val="0"/>
        <w:rPr>
          <w:b/>
          <w:bCs/>
          <w:sz w:val="24"/>
          <w:szCs w:val="24"/>
        </w:rPr>
      </w:pPr>
      <w:r w:rsidRPr="000E58C8">
        <w:rPr>
          <w:sz w:val="24"/>
          <w:szCs w:val="24"/>
          <w:lang w:val="en-CA"/>
        </w:rPr>
        <w:fldChar w:fldCharType="begin"/>
      </w:r>
      <w:r w:rsidRPr="000E58C8">
        <w:rPr>
          <w:sz w:val="24"/>
          <w:szCs w:val="24"/>
          <w:lang w:val="en-CA"/>
        </w:rPr>
        <w:instrText xml:space="preserve"> SEQ CHAPTER \h \r 1</w:instrText>
      </w:r>
      <w:r w:rsidRPr="000E58C8">
        <w:rPr>
          <w:sz w:val="24"/>
          <w:szCs w:val="24"/>
          <w:lang w:val="en-CA"/>
        </w:rPr>
        <w:fldChar w:fldCharType="end"/>
      </w:r>
      <w:r w:rsidRPr="000E58C8">
        <w:rPr>
          <w:b/>
          <w:bCs/>
          <w:sz w:val="24"/>
          <w:szCs w:val="24"/>
        </w:rPr>
        <w:t xml:space="preserve">IN THE COURT OF COMMON PLEAS </w:t>
      </w:r>
      <w:r>
        <w:rPr>
          <w:b/>
          <w:bCs/>
          <w:sz w:val="24"/>
          <w:szCs w:val="24"/>
        </w:rPr>
        <w:t xml:space="preserve">OF </w:t>
      </w:r>
      <w:r w:rsidRPr="000E58C8">
        <w:rPr>
          <w:b/>
          <w:bCs/>
          <w:sz w:val="24"/>
          <w:szCs w:val="24"/>
        </w:rPr>
        <w:t>PHILADELPHIA COUNTY</w:t>
      </w:r>
    </w:p>
    <w:p w14:paraId="16152847" w14:textId="77777777" w:rsidR="00AB1871" w:rsidRPr="000E58C8" w:rsidRDefault="00AB1871" w:rsidP="00AB1871">
      <w:pPr>
        <w:jc w:val="center"/>
        <w:outlineLvl w:val="0"/>
        <w:rPr>
          <w:b/>
          <w:bCs/>
          <w:sz w:val="24"/>
          <w:szCs w:val="24"/>
        </w:rPr>
      </w:pPr>
      <w:r w:rsidRPr="000E58C8">
        <w:rPr>
          <w:b/>
          <w:bCs/>
          <w:sz w:val="24"/>
          <w:szCs w:val="24"/>
        </w:rPr>
        <w:t>FIRST JUDICIAL DISTRICT OF PENNSYLVANIA</w:t>
      </w:r>
    </w:p>
    <w:p w14:paraId="44B6FAD8" w14:textId="77777777" w:rsidR="00AB1871" w:rsidRPr="000E58C8" w:rsidRDefault="00AB1871" w:rsidP="00AB1871">
      <w:pPr>
        <w:rPr>
          <w:b/>
          <w:bCs/>
          <w:sz w:val="24"/>
          <w:szCs w:val="24"/>
        </w:rPr>
      </w:pPr>
    </w:p>
    <w:p w14:paraId="3AC1FC26" w14:textId="77777777" w:rsidR="00AB1871" w:rsidRPr="000E58C8" w:rsidRDefault="00AB1871" w:rsidP="00AB1871">
      <w:pPr>
        <w:jc w:val="center"/>
        <w:outlineLvl w:val="0"/>
        <w:rPr>
          <w:b/>
          <w:bCs/>
          <w:sz w:val="24"/>
          <w:szCs w:val="24"/>
          <w:u w:val="single"/>
        </w:rPr>
      </w:pPr>
      <w:r w:rsidRPr="000E58C8">
        <w:rPr>
          <w:b/>
          <w:bCs/>
          <w:sz w:val="24"/>
          <w:szCs w:val="24"/>
          <w:u w:val="single"/>
        </w:rPr>
        <w:t>TRIAL DIVISION—CRIMINAL</w:t>
      </w:r>
    </w:p>
    <w:p w14:paraId="3EF302D0" w14:textId="77777777" w:rsidR="00AB1871" w:rsidRPr="005752C5" w:rsidRDefault="00AB1871" w:rsidP="00AB1871">
      <w:pPr>
        <w:rPr>
          <w:b/>
          <w:bCs/>
          <w:sz w:val="24"/>
          <w:szCs w:val="24"/>
        </w:rPr>
      </w:pPr>
    </w:p>
    <w:p w14:paraId="0BBFCA92" w14:textId="77777777" w:rsidR="00AB1871" w:rsidRPr="005752C5" w:rsidRDefault="00AB1871" w:rsidP="00AB1871">
      <w:pPr>
        <w:tabs>
          <w:tab w:val="left" w:pos="720"/>
          <w:tab w:val="left" w:pos="1440"/>
          <w:tab w:val="left" w:pos="2160"/>
          <w:tab w:val="left" w:pos="2880"/>
          <w:tab w:val="left" w:pos="3600"/>
          <w:tab w:val="left" w:pos="4320"/>
          <w:tab w:val="left" w:pos="5040"/>
          <w:tab w:val="left" w:pos="6405"/>
        </w:tabs>
        <w:rPr>
          <w:b/>
          <w:bCs/>
          <w:sz w:val="24"/>
          <w:szCs w:val="24"/>
        </w:rPr>
      </w:pPr>
      <w:r w:rsidRPr="005752C5">
        <w:rPr>
          <w:b/>
          <w:bCs/>
          <w:sz w:val="24"/>
          <w:szCs w:val="24"/>
        </w:rPr>
        <w:t>COMMONWEALTH OF PENNSYLVANIA</w:t>
      </w:r>
      <w:r w:rsidRPr="005752C5">
        <w:rPr>
          <w:b/>
          <w:bCs/>
          <w:sz w:val="24"/>
          <w:szCs w:val="24"/>
        </w:rPr>
        <w:tab/>
        <w:t>:</w:t>
      </w:r>
      <w:r w:rsidRPr="005752C5">
        <w:rPr>
          <w:b/>
          <w:bCs/>
          <w:sz w:val="24"/>
          <w:szCs w:val="24"/>
        </w:rPr>
        <w:tab/>
      </w:r>
      <w:r w:rsidRPr="005752C5">
        <w:rPr>
          <w:b/>
          <w:bCs/>
          <w:sz w:val="24"/>
          <w:szCs w:val="24"/>
        </w:rPr>
        <w:tab/>
      </w:r>
    </w:p>
    <w:p w14:paraId="57CAF0D2" w14:textId="77777777" w:rsidR="00AB1871" w:rsidRPr="005752C5" w:rsidRDefault="00AB1871" w:rsidP="00AB1871">
      <w:pPr>
        <w:tabs>
          <w:tab w:val="left" w:pos="720"/>
          <w:tab w:val="left" w:pos="1440"/>
          <w:tab w:val="left" w:pos="2160"/>
          <w:tab w:val="left" w:pos="2880"/>
          <w:tab w:val="left" w:pos="3600"/>
          <w:tab w:val="left" w:pos="4320"/>
          <w:tab w:val="left" w:pos="5040"/>
          <w:tab w:val="left" w:pos="5760"/>
          <w:tab w:val="left" w:pos="6405"/>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r w:rsidRPr="005752C5">
        <w:rPr>
          <w:b/>
          <w:bCs/>
          <w:sz w:val="24"/>
          <w:szCs w:val="24"/>
        </w:rPr>
        <w:tab/>
      </w:r>
    </w:p>
    <w:p w14:paraId="1F858175" w14:textId="77777777" w:rsidR="00AB1871" w:rsidRPr="005752C5" w:rsidRDefault="00AB1871" w:rsidP="00AB1871">
      <w:pPr>
        <w:tabs>
          <w:tab w:val="left" w:pos="720"/>
          <w:tab w:val="left" w:pos="1440"/>
          <w:tab w:val="left" w:pos="2160"/>
          <w:tab w:val="left" w:pos="2880"/>
          <w:tab w:val="left" w:pos="3600"/>
          <w:tab w:val="left" w:pos="4320"/>
          <w:tab w:val="left" w:pos="5040"/>
          <w:tab w:val="left" w:pos="6405"/>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p>
    <w:p w14:paraId="5FC41ED3" w14:textId="77777777" w:rsidR="00AB1871" w:rsidRPr="005752C5" w:rsidRDefault="00AB1871" w:rsidP="00AB1871">
      <w:pPr>
        <w:rPr>
          <w:b/>
          <w:bCs/>
          <w:sz w:val="24"/>
          <w:szCs w:val="24"/>
        </w:rPr>
      </w:pPr>
      <w:r w:rsidRPr="005752C5">
        <w:rPr>
          <w:b/>
          <w:bCs/>
          <w:sz w:val="24"/>
          <w:szCs w:val="24"/>
        </w:rPr>
        <w:tab/>
        <w:t>v.</w:t>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 xml:space="preserve">: </w:t>
      </w:r>
      <w:r w:rsidRPr="005752C5">
        <w:rPr>
          <w:b/>
          <w:bCs/>
          <w:sz w:val="24"/>
          <w:szCs w:val="24"/>
        </w:rPr>
        <w:tab/>
        <w:t xml:space="preserve">No.     </w:t>
      </w:r>
      <w:r w:rsidRPr="005752C5">
        <w:rPr>
          <w:b/>
          <w:bCs/>
          <w:sz w:val="24"/>
          <w:szCs w:val="24"/>
        </w:rPr>
        <w:tab/>
      </w:r>
      <w:r>
        <w:rPr>
          <w:b/>
          <w:sz w:val="24"/>
          <w:szCs w:val="24"/>
        </w:rPr>
        <w:t>CP-51</w:t>
      </w:r>
      <w:r w:rsidRPr="005B4796">
        <w:rPr>
          <w:b/>
          <w:sz w:val="24"/>
          <w:szCs w:val="24"/>
        </w:rPr>
        <w:t>-CR-</w:t>
      </w:r>
    </w:p>
    <w:p w14:paraId="01DF5CC6" w14:textId="77777777" w:rsidR="00AB1871" w:rsidRPr="005752C5" w:rsidRDefault="00AB1871" w:rsidP="00AB1871">
      <w:pPr>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t xml:space="preserve">           </w:t>
      </w:r>
    </w:p>
    <w:p w14:paraId="70F6BC6B" w14:textId="77777777" w:rsidR="00AB1871" w:rsidRPr="005752C5" w:rsidRDefault="00AB1871" w:rsidP="00AB1871">
      <w:pPr>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t xml:space="preserve">        </w:t>
      </w:r>
      <w:r w:rsidRPr="005752C5">
        <w:rPr>
          <w:b/>
          <w:bCs/>
          <w:sz w:val="24"/>
          <w:szCs w:val="24"/>
        </w:rPr>
        <w:tab/>
      </w:r>
    </w:p>
    <w:p w14:paraId="44A74052" w14:textId="77777777" w:rsidR="00AB1871" w:rsidRPr="005752C5" w:rsidRDefault="00AB1871" w:rsidP="00AB1871">
      <w:pPr>
        <w:tabs>
          <w:tab w:val="left" w:pos="720"/>
          <w:tab w:val="left" w:pos="1440"/>
          <w:tab w:val="left" w:pos="2160"/>
          <w:tab w:val="left" w:pos="2880"/>
          <w:tab w:val="left" w:pos="3600"/>
          <w:tab w:val="left" w:pos="4320"/>
          <w:tab w:val="left" w:pos="5040"/>
        </w:tabs>
        <w:rPr>
          <w:b/>
          <w:bCs/>
          <w:sz w:val="24"/>
          <w:szCs w:val="24"/>
        </w:rPr>
      </w:pPr>
      <w:r w:rsidRPr="00BA7231">
        <w:rPr>
          <w:b/>
          <w:bCs/>
          <w:color w:val="FF0000"/>
          <w:sz w:val="24"/>
          <w:szCs w:val="24"/>
        </w:rPr>
        <w:t>JOHN DOE</w:t>
      </w:r>
      <w:r w:rsidRPr="00BA7231">
        <w:rPr>
          <w:b/>
          <w:bCs/>
          <w:color w:val="FF0000"/>
          <w:sz w:val="24"/>
          <w:szCs w:val="24"/>
        </w:rPr>
        <w:tab/>
      </w:r>
      <w:r>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 xml:space="preserve">:                   </w:t>
      </w:r>
      <w:r w:rsidRPr="005752C5">
        <w:rPr>
          <w:b/>
          <w:bCs/>
          <w:sz w:val="24"/>
          <w:szCs w:val="24"/>
        </w:rPr>
        <w:tab/>
      </w:r>
    </w:p>
    <w:p w14:paraId="5F5B6679" w14:textId="77777777" w:rsidR="00AB1871" w:rsidRPr="005752C5" w:rsidRDefault="00AB1871" w:rsidP="00AB1871">
      <w:pPr>
        <w:tabs>
          <w:tab w:val="left" w:pos="720"/>
          <w:tab w:val="left" w:pos="1440"/>
          <w:tab w:val="left" w:pos="2160"/>
          <w:tab w:val="left" w:pos="2880"/>
          <w:tab w:val="left" w:pos="3600"/>
          <w:tab w:val="left" w:pos="4320"/>
          <w:tab w:val="left" w:pos="5040"/>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p>
    <w:p w14:paraId="1A2A328F" w14:textId="5077243F" w:rsidR="00144746" w:rsidRPr="005752C5" w:rsidRDefault="00AB1871" w:rsidP="00AB1871">
      <w:pPr>
        <w:rPr>
          <w:b/>
          <w:bCs/>
          <w:sz w:val="24"/>
          <w:szCs w:val="24"/>
        </w:rPr>
      </w:pPr>
      <w:r w:rsidRPr="005752C5">
        <w:rPr>
          <w:b/>
          <w:bCs/>
          <w:sz w:val="24"/>
          <w:szCs w:val="24"/>
        </w:rPr>
        <w:t>__________________________________________:</w:t>
      </w:r>
      <w:r w:rsidRPr="005752C5">
        <w:rPr>
          <w:b/>
          <w:bCs/>
          <w:sz w:val="24"/>
          <w:szCs w:val="24"/>
        </w:rPr>
        <w:tab/>
      </w:r>
      <w:r w:rsidR="00FF2A66" w:rsidRPr="005752C5">
        <w:rPr>
          <w:b/>
          <w:bCs/>
          <w:sz w:val="24"/>
          <w:szCs w:val="24"/>
        </w:rPr>
        <w:tab/>
      </w:r>
      <w:r w:rsidR="00FF2A66" w:rsidRPr="005752C5">
        <w:rPr>
          <w:b/>
          <w:bCs/>
          <w:sz w:val="24"/>
          <w:szCs w:val="24"/>
        </w:rPr>
        <w:tab/>
      </w:r>
    </w:p>
    <w:p w14:paraId="5FE26559" w14:textId="77777777" w:rsidR="00144746" w:rsidRPr="005752C5" w:rsidRDefault="00144746" w:rsidP="00144746">
      <w:pPr>
        <w:tabs>
          <w:tab w:val="left" w:pos="6825"/>
        </w:tabs>
        <w:rPr>
          <w:sz w:val="24"/>
          <w:szCs w:val="24"/>
        </w:rPr>
      </w:pPr>
      <w:r w:rsidRPr="005752C5">
        <w:rPr>
          <w:sz w:val="24"/>
          <w:szCs w:val="24"/>
        </w:rPr>
        <w:tab/>
      </w:r>
    </w:p>
    <w:p w14:paraId="0B56F987" w14:textId="77777777" w:rsidR="00144746" w:rsidRPr="005752C5" w:rsidRDefault="00144746" w:rsidP="00144746">
      <w:pPr>
        <w:rPr>
          <w:sz w:val="24"/>
          <w:szCs w:val="24"/>
        </w:rPr>
      </w:pPr>
    </w:p>
    <w:p w14:paraId="484248C1" w14:textId="77777777" w:rsidR="002A0877" w:rsidRDefault="002A0877" w:rsidP="00144746">
      <w:pPr>
        <w:jc w:val="center"/>
        <w:outlineLvl w:val="0"/>
        <w:rPr>
          <w:b/>
          <w:bCs/>
          <w:sz w:val="24"/>
          <w:szCs w:val="24"/>
        </w:rPr>
      </w:pPr>
      <w:r>
        <w:rPr>
          <w:b/>
          <w:bCs/>
          <w:sz w:val="24"/>
          <w:szCs w:val="24"/>
        </w:rPr>
        <w:t xml:space="preserve">MEMORANDUM OF POINTS AND AUTHORITIES IN SUPPORT OF </w:t>
      </w:r>
    </w:p>
    <w:p w14:paraId="3C8142E3" w14:textId="0B90ACCF" w:rsidR="00144746" w:rsidRPr="005752C5" w:rsidRDefault="00742CD0" w:rsidP="00144746">
      <w:pPr>
        <w:jc w:val="center"/>
        <w:outlineLvl w:val="0"/>
        <w:rPr>
          <w:sz w:val="24"/>
          <w:szCs w:val="24"/>
        </w:rPr>
      </w:pPr>
      <w:r>
        <w:rPr>
          <w:b/>
          <w:bCs/>
          <w:sz w:val="24"/>
          <w:szCs w:val="24"/>
        </w:rPr>
        <w:t>MOTION TO WAIVE COURT COSTS</w:t>
      </w:r>
    </w:p>
    <w:p w14:paraId="45EFD35C" w14:textId="77777777" w:rsidR="00144746" w:rsidRPr="005752C5" w:rsidRDefault="00144746" w:rsidP="00144746">
      <w:pPr>
        <w:rPr>
          <w:sz w:val="24"/>
          <w:szCs w:val="24"/>
        </w:rPr>
      </w:pPr>
    </w:p>
    <w:p w14:paraId="4638EC22" w14:textId="08FE9AA1" w:rsidR="00014011" w:rsidRDefault="003A3CF6" w:rsidP="003A3CF6">
      <w:pPr>
        <w:spacing w:line="480" w:lineRule="auto"/>
        <w:ind w:firstLine="720"/>
        <w:rPr>
          <w:sz w:val="24"/>
          <w:szCs w:val="24"/>
        </w:rPr>
      </w:pPr>
      <w:r w:rsidRPr="005752C5">
        <w:rPr>
          <w:sz w:val="24"/>
          <w:szCs w:val="24"/>
        </w:rPr>
        <w:t xml:space="preserve">Pursuant to 42 </w:t>
      </w:r>
      <w:proofErr w:type="spellStart"/>
      <w:r w:rsidRPr="005752C5">
        <w:rPr>
          <w:sz w:val="24"/>
          <w:szCs w:val="24"/>
        </w:rPr>
        <w:t>Pa.</w:t>
      </w:r>
      <w:r w:rsidR="00477FAA">
        <w:rPr>
          <w:sz w:val="24"/>
          <w:szCs w:val="24"/>
        </w:rPr>
        <w:t>C.S</w:t>
      </w:r>
      <w:proofErr w:type="spellEnd"/>
      <w:r w:rsidR="00477FAA">
        <w:rPr>
          <w:sz w:val="24"/>
          <w:szCs w:val="24"/>
        </w:rPr>
        <w:t>.</w:t>
      </w:r>
      <w:r w:rsidR="00F05998">
        <w:rPr>
          <w:sz w:val="24"/>
          <w:szCs w:val="24"/>
        </w:rPr>
        <w:t xml:space="preserve"> §§ 9728(</w:t>
      </w:r>
      <w:r w:rsidR="00434079">
        <w:rPr>
          <w:sz w:val="24"/>
          <w:szCs w:val="24"/>
        </w:rPr>
        <w:t>b.2</w:t>
      </w:r>
      <w:r w:rsidR="00F05998">
        <w:rPr>
          <w:sz w:val="24"/>
          <w:szCs w:val="24"/>
        </w:rPr>
        <w:t xml:space="preserve">) </w:t>
      </w:r>
      <w:r w:rsidRPr="005752C5">
        <w:rPr>
          <w:sz w:val="24"/>
          <w:szCs w:val="24"/>
        </w:rPr>
        <w:t xml:space="preserve">and </w:t>
      </w:r>
      <w:proofErr w:type="spellStart"/>
      <w:r w:rsidRPr="005752C5">
        <w:rPr>
          <w:sz w:val="24"/>
          <w:szCs w:val="24"/>
        </w:rPr>
        <w:t>Pa.R.Crim.P</w:t>
      </w:r>
      <w:proofErr w:type="spellEnd"/>
      <w:r w:rsidRPr="005752C5">
        <w:rPr>
          <w:sz w:val="24"/>
          <w:szCs w:val="24"/>
        </w:rPr>
        <w:t>. 706</w:t>
      </w:r>
      <w:r w:rsidR="00985EBD">
        <w:rPr>
          <w:sz w:val="24"/>
          <w:szCs w:val="24"/>
        </w:rPr>
        <w:t>(C)</w:t>
      </w:r>
      <w:r w:rsidRPr="005752C5">
        <w:rPr>
          <w:sz w:val="24"/>
          <w:szCs w:val="24"/>
        </w:rPr>
        <w:t xml:space="preserve">, </w:t>
      </w:r>
      <w:r w:rsidR="00BA7231">
        <w:rPr>
          <w:sz w:val="24"/>
          <w:szCs w:val="24"/>
        </w:rPr>
        <w:t xml:space="preserve">Defendant </w:t>
      </w:r>
      <w:r w:rsidR="00BA7231" w:rsidRPr="00BA7231">
        <w:rPr>
          <w:color w:val="FF0000"/>
          <w:sz w:val="24"/>
          <w:szCs w:val="24"/>
        </w:rPr>
        <w:t>John Doe</w:t>
      </w:r>
      <w:r w:rsidRPr="005752C5">
        <w:rPr>
          <w:sz w:val="24"/>
          <w:szCs w:val="24"/>
        </w:rPr>
        <w:t>, through counsel, respectfully requests that this Court</w:t>
      </w:r>
      <w:r w:rsidR="00BA7231">
        <w:rPr>
          <w:sz w:val="24"/>
          <w:szCs w:val="24"/>
        </w:rPr>
        <w:t xml:space="preserve"> waive his outstanding court costs due to his indigence and inability to pay said costs.</w:t>
      </w:r>
    </w:p>
    <w:p w14:paraId="2D457BD3" w14:textId="2E79BDD4" w:rsidR="00B61CF1" w:rsidRPr="00E96FEF" w:rsidRDefault="00B61CF1" w:rsidP="00203201">
      <w:pPr>
        <w:pStyle w:val="ListParagraph"/>
        <w:numPr>
          <w:ilvl w:val="0"/>
          <w:numId w:val="40"/>
        </w:numPr>
        <w:ind w:left="0" w:firstLine="0"/>
        <w:jc w:val="center"/>
        <w:rPr>
          <w:b/>
          <w:sz w:val="24"/>
          <w:szCs w:val="24"/>
        </w:rPr>
      </w:pPr>
      <w:r w:rsidRPr="00E96FEF">
        <w:rPr>
          <w:b/>
          <w:sz w:val="24"/>
          <w:szCs w:val="24"/>
        </w:rPr>
        <w:t xml:space="preserve">This Court has continuing jurisdiction over Mr. </w:t>
      </w:r>
      <w:r w:rsidRPr="00E96FEF">
        <w:rPr>
          <w:b/>
          <w:color w:val="FF0000"/>
          <w:sz w:val="24"/>
          <w:szCs w:val="24"/>
        </w:rPr>
        <w:t xml:space="preserve">Doe’s </w:t>
      </w:r>
      <w:r w:rsidRPr="00E96FEF">
        <w:rPr>
          <w:b/>
          <w:sz w:val="24"/>
          <w:szCs w:val="24"/>
        </w:rPr>
        <w:t>court costs.</w:t>
      </w:r>
    </w:p>
    <w:p w14:paraId="5DAC0CF7" w14:textId="77777777" w:rsidR="00B61CF1" w:rsidRDefault="00B61CF1" w:rsidP="00B61CF1">
      <w:pPr>
        <w:pStyle w:val="ListParagraph"/>
        <w:ind w:left="1080"/>
        <w:rPr>
          <w:b/>
          <w:sz w:val="24"/>
          <w:szCs w:val="24"/>
        </w:rPr>
      </w:pPr>
    </w:p>
    <w:p w14:paraId="1A63D70E" w14:textId="7CE41795" w:rsidR="00B43430" w:rsidRPr="002A0877" w:rsidRDefault="00B43430" w:rsidP="002A0877">
      <w:pPr>
        <w:spacing w:line="480" w:lineRule="auto"/>
        <w:ind w:firstLine="720"/>
        <w:rPr>
          <w:b/>
          <w:sz w:val="24"/>
          <w:szCs w:val="24"/>
        </w:rPr>
      </w:pPr>
      <w:r w:rsidRPr="002A0877">
        <w:rPr>
          <w:sz w:val="24"/>
          <w:szCs w:val="24"/>
        </w:rPr>
        <w:t xml:space="preserve">This Court may modify </w:t>
      </w:r>
      <w:r w:rsidR="00FA6F11" w:rsidRPr="002A0877">
        <w:rPr>
          <w:sz w:val="24"/>
          <w:szCs w:val="24"/>
        </w:rPr>
        <w:t xml:space="preserve">Mr. </w:t>
      </w:r>
      <w:r w:rsidR="00FA6F11" w:rsidRPr="002A0877">
        <w:rPr>
          <w:color w:val="FF0000"/>
          <w:sz w:val="24"/>
          <w:szCs w:val="24"/>
        </w:rPr>
        <w:t>Doe’s</w:t>
      </w:r>
      <w:r w:rsidRPr="002A0877">
        <w:rPr>
          <w:sz w:val="24"/>
          <w:szCs w:val="24"/>
        </w:rPr>
        <w:t xml:space="preserve"> court costs at any time. Court costs “are not part of the criminal’s sentence but are merely incident to the judgment.” </w:t>
      </w:r>
      <w:r w:rsidRPr="002A0877">
        <w:rPr>
          <w:i/>
          <w:sz w:val="24"/>
          <w:szCs w:val="24"/>
        </w:rPr>
        <w:t>Commonwealth v. Rivera</w:t>
      </w:r>
      <w:r w:rsidRPr="002A0877">
        <w:rPr>
          <w:sz w:val="24"/>
          <w:szCs w:val="24"/>
        </w:rPr>
        <w:t>, 95 A.3d 913, 916 (Pa. Super. Ct. 2014).</w:t>
      </w:r>
      <w:r w:rsidR="00B21506" w:rsidRPr="002A0877">
        <w:rPr>
          <w:sz w:val="24"/>
          <w:szCs w:val="24"/>
        </w:rPr>
        <w:t xml:space="preserve"> </w:t>
      </w:r>
      <w:r w:rsidR="00B21506" w:rsidRPr="002A0877">
        <w:rPr>
          <w:i/>
          <w:sz w:val="24"/>
          <w:szCs w:val="24"/>
        </w:rPr>
        <w:t>See also Commonwealth v. Nicely</w:t>
      </w:r>
      <w:r w:rsidR="00B21506" w:rsidRPr="002A0877">
        <w:rPr>
          <w:sz w:val="24"/>
          <w:szCs w:val="24"/>
        </w:rPr>
        <w:t xml:space="preserve">, 638 A.2d 213, 217 (Pa. 1994) (“The imposition of costs in a criminal case is not part of the sentence, but rather is incident to the judgment.”). </w:t>
      </w:r>
      <w:r w:rsidRPr="002A0877">
        <w:rPr>
          <w:sz w:val="24"/>
          <w:szCs w:val="24"/>
        </w:rPr>
        <w:t xml:space="preserve">As a result, the jurisdictional bar that would prevent a court from modifying a defendant’s sentence more than 30 days </w:t>
      </w:r>
      <w:r w:rsidR="00900A78" w:rsidRPr="002A0877">
        <w:rPr>
          <w:sz w:val="24"/>
          <w:szCs w:val="24"/>
        </w:rPr>
        <w:t xml:space="preserve">after sentencing </w:t>
      </w:r>
      <w:r w:rsidRPr="002A0877">
        <w:rPr>
          <w:sz w:val="24"/>
          <w:szCs w:val="24"/>
        </w:rPr>
        <w:t xml:space="preserve">does not apply to waiving that defendant’s court costs, which are not a part of that sentence. </w:t>
      </w:r>
    </w:p>
    <w:p w14:paraId="033DFB0C" w14:textId="1028E750" w:rsidR="00B43430" w:rsidRPr="002A0877" w:rsidRDefault="00B43430" w:rsidP="002A0877">
      <w:pPr>
        <w:widowControl/>
        <w:autoSpaceDE/>
        <w:autoSpaceDN/>
        <w:adjustRightInd/>
        <w:spacing w:line="480" w:lineRule="auto"/>
        <w:ind w:firstLine="720"/>
        <w:rPr>
          <w:sz w:val="24"/>
          <w:szCs w:val="24"/>
        </w:rPr>
      </w:pPr>
      <w:r w:rsidRPr="002A0877">
        <w:rPr>
          <w:sz w:val="24"/>
          <w:szCs w:val="24"/>
        </w:rPr>
        <w:t>The Commonwealth Court has explained that when a defendant challenges the clerk of court’s imposition of certain costs, “[s]</w:t>
      </w:r>
      <w:proofErr w:type="spellStart"/>
      <w:r w:rsidRPr="002A0877">
        <w:rPr>
          <w:sz w:val="24"/>
          <w:szCs w:val="24"/>
        </w:rPr>
        <w:t>uch</w:t>
      </w:r>
      <w:proofErr w:type="spellEnd"/>
      <w:r w:rsidRPr="002A0877">
        <w:rPr>
          <w:sz w:val="24"/>
          <w:szCs w:val="24"/>
        </w:rPr>
        <w:t xml:space="preserve"> a challenge is properly brought in the sentencing court.” </w:t>
      </w:r>
      <w:r w:rsidRPr="002A0877">
        <w:rPr>
          <w:i/>
          <w:sz w:val="24"/>
          <w:szCs w:val="24"/>
        </w:rPr>
        <w:t>Commonwealth v. Williams</w:t>
      </w:r>
      <w:r w:rsidRPr="002A0877">
        <w:rPr>
          <w:sz w:val="24"/>
          <w:szCs w:val="24"/>
        </w:rPr>
        <w:t xml:space="preserve">, 909 A.2d 419, 421 (Pa. </w:t>
      </w:r>
      <w:proofErr w:type="spellStart"/>
      <w:r w:rsidRPr="002A0877">
        <w:rPr>
          <w:sz w:val="24"/>
          <w:szCs w:val="24"/>
        </w:rPr>
        <w:t>Commw</w:t>
      </w:r>
      <w:proofErr w:type="spellEnd"/>
      <w:r w:rsidRPr="002A0877">
        <w:rPr>
          <w:sz w:val="24"/>
          <w:szCs w:val="24"/>
        </w:rPr>
        <w:t xml:space="preserve">. Ct. 2006). In </w:t>
      </w:r>
      <w:r w:rsidRPr="002A0877">
        <w:rPr>
          <w:i/>
          <w:sz w:val="24"/>
          <w:szCs w:val="24"/>
        </w:rPr>
        <w:t>Williams</w:t>
      </w:r>
      <w:r w:rsidRPr="002A0877">
        <w:rPr>
          <w:sz w:val="24"/>
          <w:szCs w:val="24"/>
        </w:rPr>
        <w:t xml:space="preserve">, the </w:t>
      </w:r>
      <w:r w:rsidRPr="002A0877">
        <w:rPr>
          <w:sz w:val="24"/>
          <w:szCs w:val="24"/>
        </w:rPr>
        <w:lastRenderedPageBreak/>
        <w:t>defendant originally brought a challenge to certain costs in the trial court three years after his conviction, and the trial court dismissed for lack of jurisdiction</w:t>
      </w:r>
      <w:r w:rsidR="00900A78" w:rsidRPr="002A0877">
        <w:rPr>
          <w:sz w:val="24"/>
          <w:szCs w:val="24"/>
        </w:rPr>
        <w:t>. T</w:t>
      </w:r>
      <w:r w:rsidR="00206338" w:rsidRPr="002A0877">
        <w:rPr>
          <w:sz w:val="24"/>
          <w:szCs w:val="24"/>
        </w:rPr>
        <w:t xml:space="preserve">he Commonwealth Court reversed, ruling </w:t>
      </w:r>
      <w:r w:rsidRPr="002A0877">
        <w:rPr>
          <w:sz w:val="24"/>
          <w:szCs w:val="24"/>
        </w:rPr>
        <w:t xml:space="preserve">that the trial court is the proper forum for such a claim. Similarly, in </w:t>
      </w:r>
      <w:r w:rsidRPr="002A0877">
        <w:rPr>
          <w:i/>
          <w:sz w:val="24"/>
          <w:szCs w:val="24"/>
        </w:rPr>
        <w:t>Fordyce v. Clerk of Courts</w:t>
      </w:r>
      <w:r w:rsidRPr="002A0877">
        <w:rPr>
          <w:sz w:val="24"/>
          <w:szCs w:val="24"/>
        </w:rPr>
        <w:t>,</w:t>
      </w:r>
      <w:r w:rsidRPr="002A0877">
        <w:rPr>
          <w:i/>
          <w:sz w:val="24"/>
          <w:szCs w:val="24"/>
        </w:rPr>
        <w:t xml:space="preserve"> </w:t>
      </w:r>
      <w:r w:rsidRPr="002A0877">
        <w:rPr>
          <w:sz w:val="24"/>
          <w:szCs w:val="24"/>
        </w:rPr>
        <w:t>the Commonwealth Court</w:t>
      </w:r>
      <w:r w:rsidR="00477FAA" w:rsidRPr="002A0877">
        <w:rPr>
          <w:sz w:val="24"/>
          <w:szCs w:val="24"/>
        </w:rPr>
        <w:t xml:space="preserve"> explained that it had</w:t>
      </w:r>
      <w:r w:rsidRPr="002A0877">
        <w:rPr>
          <w:sz w:val="24"/>
          <w:szCs w:val="24"/>
        </w:rPr>
        <w:t xml:space="preserve"> transferred a petition for a writ of mandamus to the trial court</w:t>
      </w:r>
      <w:r w:rsidR="00206338" w:rsidRPr="002A0877">
        <w:rPr>
          <w:sz w:val="24"/>
          <w:szCs w:val="24"/>
        </w:rPr>
        <w:t xml:space="preserve"> because </w:t>
      </w:r>
      <w:r w:rsidRPr="002A0877">
        <w:rPr>
          <w:sz w:val="24"/>
          <w:szCs w:val="24"/>
        </w:rPr>
        <w:t xml:space="preserve">it had “exclusive jurisdiction” over the costs matter even though the time to appeal had already passed; </w:t>
      </w:r>
      <w:r w:rsidR="00477FAA" w:rsidRPr="002A0877">
        <w:rPr>
          <w:sz w:val="24"/>
          <w:szCs w:val="24"/>
        </w:rPr>
        <w:t xml:space="preserve">on appeal, </w:t>
      </w:r>
      <w:r w:rsidRPr="002A0877">
        <w:rPr>
          <w:sz w:val="24"/>
          <w:szCs w:val="24"/>
        </w:rPr>
        <w:t xml:space="preserve">the court ultimately invalidated the challenged costs. 869 A.2d 1049, 1050 (Pa. </w:t>
      </w:r>
      <w:proofErr w:type="spellStart"/>
      <w:r w:rsidRPr="002A0877">
        <w:rPr>
          <w:sz w:val="24"/>
          <w:szCs w:val="24"/>
        </w:rPr>
        <w:t>Commw</w:t>
      </w:r>
      <w:proofErr w:type="spellEnd"/>
      <w:r w:rsidRPr="002A0877">
        <w:rPr>
          <w:sz w:val="24"/>
          <w:szCs w:val="24"/>
        </w:rPr>
        <w:t>. Ct. 2005).</w:t>
      </w:r>
    </w:p>
    <w:p w14:paraId="18AFA942" w14:textId="5E6FC531" w:rsidR="008136D1" w:rsidRDefault="00B43430" w:rsidP="002A0877">
      <w:pPr>
        <w:widowControl/>
        <w:autoSpaceDE/>
        <w:autoSpaceDN/>
        <w:adjustRightInd/>
        <w:spacing w:line="480" w:lineRule="auto"/>
        <w:ind w:firstLine="720"/>
        <w:rPr>
          <w:sz w:val="24"/>
          <w:szCs w:val="24"/>
        </w:rPr>
      </w:pPr>
      <w:r w:rsidRPr="002A0877">
        <w:rPr>
          <w:sz w:val="24"/>
          <w:szCs w:val="24"/>
        </w:rPr>
        <w:t xml:space="preserve">Because </w:t>
      </w:r>
      <w:r w:rsidR="00FA6F11" w:rsidRPr="002A0877">
        <w:rPr>
          <w:sz w:val="24"/>
          <w:szCs w:val="24"/>
        </w:rPr>
        <w:t xml:space="preserve">Mr. </w:t>
      </w:r>
      <w:r w:rsidR="00FA6F11" w:rsidRPr="002A0877">
        <w:rPr>
          <w:color w:val="FF0000"/>
          <w:sz w:val="24"/>
          <w:szCs w:val="24"/>
        </w:rPr>
        <w:t xml:space="preserve">Doe </w:t>
      </w:r>
      <w:r w:rsidRPr="002A0877">
        <w:rPr>
          <w:sz w:val="24"/>
          <w:szCs w:val="24"/>
        </w:rPr>
        <w:t xml:space="preserve">is not asking the Court to modify </w:t>
      </w:r>
      <w:r w:rsidR="00FA6F11" w:rsidRPr="002A0877">
        <w:rPr>
          <w:sz w:val="24"/>
          <w:szCs w:val="24"/>
        </w:rPr>
        <w:t xml:space="preserve">any fines or </w:t>
      </w:r>
      <w:r w:rsidR="00985EBD" w:rsidRPr="002A0877">
        <w:rPr>
          <w:sz w:val="24"/>
          <w:szCs w:val="24"/>
        </w:rPr>
        <w:t xml:space="preserve">restitution—which are the sentence—there </w:t>
      </w:r>
      <w:r w:rsidRPr="002A0877">
        <w:rPr>
          <w:sz w:val="24"/>
          <w:szCs w:val="24"/>
        </w:rPr>
        <w:t>is no jurisdictional hurdle to the relief that he seeks.</w:t>
      </w:r>
      <w:r w:rsidR="0074056D" w:rsidRPr="002A0877">
        <w:rPr>
          <w:sz w:val="24"/>
          <w:szCs w:val="24"/>
        </w:rPr>
        <w:t xml:space="preserve"> This Court has ongoing jurisdiction over Mr. </w:t>
      </w:r>
      <w:r w:rsidR="0074056D" w:rsidRPr="002A0877">
        <w:rPr>
          <w:color w:val="FF0000"/>
          <w:sz w:val="24"/>
          <w:szCs w:val="24"/>
        </w:rPr>
        <w:t xml:space="preserve">Doe’s </w:t>
      </w:r>
      <w:r w:rsidR="0074056D" w:rsidRPr="002A0877">
        <w:rPr>
          <w:sz w:val="24"/>
          <w:szCs w:val="24"/>
        </w:rPr>
        <w:t>costs.</w:t>
      </w:r>
    </w:p>
    <w:p w14:paraId="6355539C" w14:textId="5D71E51A" w:rsidR="008136D1" w:rsidRPr="00E96FEF" w:rsidRDefault="008136D1" w:rsidP="008136D1">
      <w:pPr>
        <w:pStyle w:val="ListParagraph"/>
        <w:numPr>
          <w:ilvl w:val="0"/>
          <w:numId w:val="40"/>
        </w:numPr>
        <w:ind w:left="0" w:firstLine="0"/>
        <w:jc w:val="center"/>
        <w:rPr>
          <w:b/>
          <w:sz w:val="24"/>
          <w:szCs w:val="24"/>
        </w:rPr>
      </w:pPr>
      <w:r>
        <w:rPr>
          <w:b/>
          <w:sz w:val="24"/>
          <w:szCs w:val="24"/>
        </w:rPr>
        <w:t>This Court has the authority to</w:t>
      </w:r>
      <w:r w:rsidRPr="00E96FEF">
        <w:rPr>
          <w:b/>
          <w:sz w:val="24"/>
          <w:szCs w:val="24"/>
        </w:rPr>
        <w:t xml:space="preserve"> waive Mr. </w:t>
      </w:r>
      <w:r w:rsidRPr="00E96FEF">
        <w:rPr>
          <w:b/>
          <w:color w:val="FF0000"/>
          <w:sz w:val="24"/>
          <w:szCs w:val="24"/>
        </w:rPr>
        <w:t xml:space="preserve">Doe’s </w:t>
      </w:r>
      <w:r w:rsidRPr="00E96FEF">
        <w:rPr>
          <w:b/>
          <w:sz w:val="24"/>
          <w:szCs w:val="24"/>
        </w:rPr>
        <w:t>outstanding court costs.</w:t>
      </w:r>
    </w:p>
    <w:p w14:paraId="5B757571" w14:textId="77777777" w:rsidR="008136D1" w:rsidRDefault="008136D1" w:rsidP="008136D1">
      <w:pPr>
        <w:pStyle w:val="ListParagraph"/>
        <w:ind w:left="1080"/>
        <w:rPr>
          <w:b/>
          <w:sz w:val="24"/>
          <w:szCs w:val="24"/>
        </w:rPr>
      </w:pPr>
    </w:p>
    <w:p w14:paraId="44274DDC" w14:textId="77777777" w:rsidR="008136D1" w:rsidRPr="002A0877" w:rsidRDefault="008136D1" w:rsidP="008136D1">
      <w:pPr>
        <w:widowControl/>
        <w:spacing w:line="480" w:lineRule="auto"/>
        <w:ind w:firstLine="720"/>
        <w:rPr>
          <w:sz w:val="24"/>
          <w:szCs w:val="24"/>
        </w:rPr>
      </w:pPr>
      <w:r w:rsidRPr="002A0877">
        <w:rPr>
          <w:sz w:val="24"/>
          <w:szCs w:val="24"/>
        </w:rPr>
        <w:t xml:space="preserve">Because of Mr. </w:t>
      </w:r>
      <w:r w:rsidRPr="002A0877">
        <w:rPr>
          <w:color w:val="FF0000"/>
          <w:sz w:val="24"/>
          <w:szCs w:val="24"/>
        </w:rPr>
        <w:t>Doe’s indigence and disabilities</w:t>
      </w:r>
      <w:r w:rsidRPr="002A0877">
        <w:rPr>
          <w:sz w:val="24"/>
          <w:szCs w:val="24"/>
        </w:rPr>
        <w:t xml:space="preserve">, the Court should waive </w:t>
      </w:r>
      <w:r w:rsidRPr="002A0877">
        <w:rPr>
          <w:color w:val="FF0000"/>
          <w:sz w:val="24"/>
          <w:szCs w:val="24"/>
        </w:rPr>
        <w:t xml:space="preserve">his </w:t>
      </w:r>
      <w:r w:rsidRPr="002A0877">
        <w:rPr>
          <w:sz w:val="24"/>
          <w:szCs w:val="24"/>
        </w:rPr>
        <w:t xml:space="preserve">outstanding costs. As both the Supreme Court of Pennsylvania and the United States Supreme Court have recognized, the Constitution demands that courts work “to eliminate inequities in the criminal process caused by </w:t>
      </w:r>
      <w:proofErr w:type="spellStart"/>
      <w:r w:rsidRPr="002A0877">
        <w:rPr>
          <w:sz w:val="24"/>
          <w:szCs w:val="24"/>
        </w:rPr>
        <w:t>indigency</w:t>
      </w:r>
      <w:proofErr w:type="spellEnd"/>
      <w:r w:rsidRPr="002A0877">
        <w:rPr>
          <w:sz w:val="24"/>
          <w:szCs w:val="24"/>
        </w:rPr>
        <w:t xml:space="preserve">.” </w:t>
      </w:r>
      <w:hyperlink r:id="rId8" w:anchor="co_pp_sp_162_161" w:history="1">
        <w:r w:rsidRPr="002A0877">
          <w:rPr>
            <w:rFonts w:eastAsia="Times New Roman"/>
            <w:i/>
            <w:iCs/>
            <w:sz w:val="24"/>
            <w:szCs w:val="24"/>
          </w:rPr>
          <w:t>Commonwealth ex rel. Parrish v. Cliff,</w:t>
        </w:r>
        <w:r w:rsidRPr="002A0877">
          <w:rPr>
            <w:rFonts w:eastAsia="Times New Roman"/>
            <w:sz w:val="24"/>
            <w:szCs w:val="24"/>
          </w:rPr>
          <w:t> 304 A.2d 158, 160 (Pa. 1973)</w:t>
        </w:r>
      </w:hyperlink>
      <w:r w:rsidRPr="002A0877">
        <w:rPr>
          <w:rFonts w:eastAsia="Times New Roman"/>
          <w:sz w:val="24"/>
          <w:szCs w:val="24"/>
        </w:rPr>
        <w:t xml:space="preserve">. To that end, when a defendant is unable to afford to pay financial obligations arising from conviction, the United States Supreme Court has suggested that trial courts consider alternatives, including reducing the total amount that the defendant owes. </w:t>
      </w:r>
      <w:r w:rsidRPr="002A0877">
        <w:rPr>
          <w:i/>
          <w:sz w:val="24"/>
          <w:szCs w:val="24"/>
        </w:rPr>
        <w:t>Bearden v. Georgia</w:t>
      </w:r>
      <w:r w:rsidRPr="002A0877">
        <w:rPr>
          <w:sz w:val="24"/>
          <w:szCs w:val="24"/>
        </w:rPr>
        <w:t>, 461 U.S. 660, 672 (1983). The Court’s goal was to avoid the needless incarceration of indigent defendants who cannot afford to pay their financial obligations.</w:t>
      </w:r>
    </w:p>
    <w:p w14:paraId="32E2DAA6" w14:textId="77777777" w:rsidR="008136D1" w:rsidRPr="002A0877" w:rsidRDefault="008136D1" w:rsidP="008136D1">
      <w:pPr>
        <w:widowControl/>
        <w:autoSpaceDE/>
        <w:autoSpaceDN/>
        <w:adjustRightInd/>
        <w:spacing w:line="480" w:lineRule="auto"/>
        <w:ind w:firstLine="720"/>
        <w:rPr>
          <w:sz w:val="24"/>
          <w:szCs w:val="24"/>
        </w:rPr>
      </w:pPr>
      <w:r w:rsidRPr="002A0877">
        <w:rPr>
          <w:sz w:val="24"/>
          <w:szCs w:val="24"/>
        </w:rPr>
        <w:t xml:space="preserve">While court costs in Pennsylvania are ordinarily assessed automatically upon conviction, our legislature and Supreme Court have given trial courts the authority to waive them. 42 </w:t>
      </w:r>
      <w:proofErr w:type="spellStart"/>
      <w:r w:rsidRPr="002A0877">
        <w:rPr>
          <w:sz w:val="24"/>
          <w:szCs w:val="24"/>
        </w:rPr>
        <w:t>Pa.C.S</w:t>
      </w:r>
      <w:proofErr w:type="spellEnd"/>
      <w:r w:rsidRPr="002A0877">
        <w:rPr>
          <w:sz w:val="24"/>
          <w:szCs w:val="24"/>
        </w:rPr>
        <w:t xml:space="preserve">. § 9728(b.2) provides that defendants are “liable for costs, as provided in section 9721(c.1), </w:t>
      </w:r>
      <w:r w:rsidRPr="002A0877">
        <w:rPr>
          <w:sz w:val="24"/>
          <w:szCs w:val="24"/>
        </w:rPr>
        <w:lastRenderedPageBreak/>
        <w:t xml:space="preserve">unless the court determines otherwise pursuant to </w:t>
      </w:r>
      <w:proofErr w:type="spellStart"/>
      <w:r w:rsidRPr="002A0877">
        <w:rPr>
          <w:sz w:val="24"/>
          <w:szCs w:val="24"/>
        </w:rPr>
        <w:t>Pa.R.Crim.P</w:t>
      </w:r>
      <w:proofErr w:type="spellEnd"/>
      <w:r w:rsidRPr="002A0877">
        <w:rPr>
          <w:sz w:val="24"/>
          <w:szCs w:val="24"/>
        </w:rPr>
        <w:t>. No. 706(C).” Rule 706(C), in turn, provides that “in determining the amount and method of payment of a fine or costs shall, insofar as is just and practicable, consider the burden upon the defendant by reason of the defendant’s financial means . . .”</w:t>
      </w:r>
      <w:r w:rsidRPr="002A0877">
        <w:rPr>
          <w:rStyle w:val="FootnoteReference"/>
          <w:sz w:val="24"/>
          <w:szCs w:val="24"/>
        </w:rPr>
        <w:t xml:space="preserve"> </w:t>
      </w:r>
      <w:r>
        <w:rPr>
          <w:rStyle w:val="FootnoteReference"/>
          <w:sz w:val="24"/>
          <w:szCs w:val="24"/>
        </w:rPr>
        <w:footnoteReference w:id="1"/>
      </w:r>
      <w:r w:rsidRPr="002A0877">
        <w:rPr>
          <w:sz w:val="24"/>
          <w:szCs w:val="24"/>
        </w:rPr>
        <w:t xml:space="preserve"> The plain language of Rule 706(C) gives courts authority to tailor the total amount of costs based on the defendant’s financial resources.</w:t>
      </w:r>
      <w:r>
        <w:rPr>
          <w:rStyle w:val="FootnoteReference"/>
          <w:sz w:val="24"/>
          <w:szCs w:val="24"/>
        </w:rPr>
        <w:footnoteReference w:id="2"/>
      </w:r>
      <w:r w:rsidRPr="002A0877">
        <w:rPr>
          <w:sz w:val="24"/>
          <w:szCs w:val="24"/>
        </w:rPr>
        <w:t xml:space="preserve"> </w:t>
      </w:r>
    </w:p>
    <w:p w14:paraId="43EAD118" w14:textId="77777777" w:rsidR="008136D1" w:rsidRPr="002A0877" w:rsidRDefault="008136D1" w:rsidP="008136D1">
      <w:pPr>
        <w:widowControl/>
        <w:autoSpaceDE/>
        <w:autoSpaceDN/>
        <w:adjustRightInd/>
        <w:spacing w:line="480" w:lineRule="auto"/>
        <w:ind w:firstLine="720"/>
        <w:rPr>
          <w:sz w:val="24"/>
          <w:szCs w:val="24"/>
        </w:rPr>
      </w:pPr>
      <w:r w:rsidRPr="002A0877">
        <w:rPr>
          <w:sz w:val="24"/>
          <w:szCs w:val="24"/>
        </w:rPr>
        <w:t xml:space="preserve">Permitting courts to reduce or waive costs based on indigence was the explicit intent of the legislature when it enacted § 9728(b.2) in 2010. As the legislative history explains, those statutes were intended to allow the “sentencing court” to “retain all discretion to </w:t>
      </w:r>
      <w:r w:rsidRPr="002A0877">
        <w:rPr>
          <w:i/>
          <w:sz w:val="24"/>
          <w:szCs w:val="24"/>
        </w:rPr>
        <w:t>modify or even waive costs</w:t>
      </w:r>
      <w:r w:rsidRPr="002A0877">
        <w:rPr>
          <w:sz w:val="24"/>
          <w:szCs w:val="24"/>
        </w:rPr>
        <w:t xml:space="preserve"> in an appropriate case.” Pennsylvania House of Representatives Judiciary Committee, SB 1169 Bill Analysis (Sept. 15, 2010) PN 2181 (emphasis added). Such legislative intent reflects the reality that indigent defendants simply cannot afford to pay anything more than nominal costs, and the legislature does not want them to be burdened for years with unaffordable financial obligations. </w:t>
      </w:r>
    </w:p>
    <w:p w14:paraId="226467CD" w14:textId="77777777" w:rsidR="008136D1" w:rsidRPr="002A0877" w:rsidRDefault="008136D1" w:rsidP="008136D1">
      <w:pPr>
        <w:widowControl/>
        <w:autoSpaceDE/>
        <w:autoSpaceDN/>
        <w:adjustRightInd/>
        <w:spacing w:line="480" w:lineRule="auto"/>
        <w:ind w:firstLine="720"/>
        <w:rPr>
          <w:sz w:val="24"/>
          <w:szCs w:val="24"/>
        </w:rPr>
      </w:pPr>
      <w:r w:rsidRPr="002A0877">
        <w:rPr>
          <w:sz w:val="24"/>
          <w:szCs w:val="24"/>
        </w:rPr>
        <w:t xml:space="preserve">Section 9728(b.2) also permits courts to waive even costs that would otherwise be “mandatory” and are automatically imposed. While certain statutes imposing costs require that the defendant “shall” pay such costs, those statutes must be interpreted </w:t>
      </w:r>
      <w:r w:rsidRPr="002A0877">
        <w:rPr>
          <w:i/>
          <w:sz w:val="24"/>
          <w:szCs w:val="24"/>
        </w:rPr>
        <w:t xml:space="preserve">in </w:t>
      </w:r>
      <w:proofErr w:type="spellStart"/>
      <w:r w:rsidRPr="002A0877">
        <w:rPr>
          <w:i/>
          <w:sz w:val="24"/>
          <w:szCs w:val="24"/>
        </w:rPr>
        <w:t>pari</w:t>
      </w:r>
      <w:proofErr w:type="spellEnd"/>
      <w:r w:rsidRPr="002A0877">
        <w:rPr>
          <w:i/>
          <w:sz w:val="24"/>
          <w:szCs w:val="24"/>
        </w:rPr>
        <w:t xml:space="preserve"> </w:t>
      </w:r>
      <w:proofErr w:type="spellStart"/>
      <w:r w:rsidRPr="002A0877">
        <w:rPr>
          <w:i/>
          <w:sz w:val="24"/>
          <w:szCs w:val="24"/>
        </w:rPr>
        <w:t>materia</w:t>
      </w:r>
      <w:proofErr w:type="spellEnd"/>
      <w:r w:rsidRPr="002A0877">
        <w:rPr>
          <w:sz w:val="24"/>
          <w:szCs w:val="24"/>
        </w:rPr>
        <w:t xml:space="preserve"> with § 9728(b.2), which imposes costs “unless the court determines otherwise.” 1 </w:t>
      </w:r>
      <w:proofErr w:type="spellStart"/>
      <w:r w:rsidRPr="002A0877">
        <w:rPr>
          <w:sz w:val="24"/>
          <w:szCs w:val="24"/>
        </w:rPr>
        <w:t>Pa.C.S</w:t>
      </w:r>
      <w:proofErr w:type="spellEnd"/>
      <w:r w:rsidRPr="002A0877">
        <w:rPr>
          <w:sz w:val="24"/>
          <w:szCs w:val="24"/>
        </w:rPr>
        <w:t xml:space="preserve">. § 1932. There is no irreconcilable conflict between such provisions: a defendant must pay them, unless the </w:t>
      </w:r>
      <w:r w:rsidRPr="002A0877">
        <w:rPr>
          <w:sz w:val="24"/>
          <w:szCs w:val="24"/>
        </w:rPr>
        <w:lastRenderedPageBreak/>
        <w:t xml:space="preserve">court determines he is </w:t>
      </w:r>
      <w:r w:rsidRPr="002A0877">
        <w:rPr>
          <w:i/>
          <w:sz w:val="24"/>
          <w:szCs w:val="24"/>
        </w:rPr>
        <w:t>unable</w:t>
      </w:r>
      <w:r w:rsidRPr="002A0877">
        <w:rPr>
          <w:sz w:val="24"/>
          <w:szCs w:val="24"/>
        </w:rPr>
        <w:t xml:space="preserve"> to pay. As a result, the court has full authority to waive all of the court costs imposed in this matter. </w:t>
      </w:r>
      <w:r w:rsidRPr="002A0877">
        <w:rPr>
          <w:i/>
          <w:sz w:val="24"/>
          <w:szCs w:val="24"/>
        </w:rPr>
        <w:t>See Commonwealth v. Childs</w:t>
      </w:r>
      <w:r w:rsidRPr="002A0877">
        <w:rPr>
          <w:sz w:val="24"/>
          <w:szCs w:val="24"/>
        </w:rPr>
        <w:t>, 63 A.3d 323, 326 (Pa. Super. Ct. 2013) (under § 9728(b.2), defendant liable for mandatory costs “unless the trial court determines otherwise pursuant to” Rule 706(C)).</w:t>
      </w:r>
      <w:r>
        <w:rPr>
          <w:rStyle w:val="FootnoteReference"/>
          <w:sz w:val="24"/>
          <w:szCs w:val="24"/>
        </w:rPr>
        <w:footnoteReference w:id="3"/>
      </w:r>
      <w:r w:rsidRPr="002A0877">
        <w:rPr>
          <w:sz w:val="24"/>
          <w:szCs w:val="24"/>
        </w:rPr>
        <w:t xml:space="preserve"> </w:t>
      </w:r>
    </w:p>
    <w:p w14:paraId="650FFF0B" w14:textId="346F10AD" w:rsidR="008136D1" w:rsidRPr="002A0877" w:rsidRDefault="008136D1" w:rsidP="00186631">
      <w:pPr>
        <w:pStyle w:val="FootnoteText"/>
        <w:spacing w:line="480" w:lineRule="auto"/>
        <w:ind w:firstLine="720"/>
        <w:rPr>
          <w:sz w:val="24"/>
          <w:szCs w:val="24"/>
        </w:rPr>
      </w:pPr>
      <w:r w:rsidRPr="002D5AFD">
        <w:rPr>
          <w:sz w:val="24"/>
          <w:szCs w:val="24"/>
        </w:rPr>
        <w:t xml:space="preserve">Mr. </w:t>
      </w:r>
      <w:r w:rsidRPr="002D5AFD">
        <w:rPr>
          <w:color w:val="FF0000"/>
          <w:sz w:val="24"/>
          <w:szCs w:val="24"/>
        </w:rPr>
        <w:t xml:space="preserve">Doe </w:t>
      </w:r>
      <w:r>
        <w:rPr>
          <w:sz w:val="24"/>
          <w:szCs w:val="24"/>
        </w:rPr>
        <w:t>therefore requests, pursuant to Rule 706(C), that this Court waive his court costs because of the burden that they place upon him in light of his financial means.</w:t>
      </w:r>
    </w:p>
    <w:p w14:paraId="7DF5797C" w14:textId="2D9B6778" w:rsidR="00557C28" w:rsidRPr="00E96FEF" w:rsidRDefault="00557C28" w:rsidP="00203201">
      <w:pPr>
        <w:pStyle w:val="ListParagraph"/>
        <w:numPr>
          <w:ilvl w:val="0"/>
          <w:numId w:val="40"/>
        </w:numPr>
        <w:ind w:left="0" w:firstLine="0"/>
        <w:jc w:val="center"/>
        <w:rPr>
          <w:b/>
          <w:sz w:val="24"/>
          <w:szCs w:val="24"/>
        </w:rPr>
      </w:pPr>
      <w:r w:rsidRPr="00E96FEF">
        <w:rPr>
          <w:b/>
          <w:sz w:val="24"/>
          <w:szCs w:val="24"/>
        </w:rPr>
        <w:t xml:space="preserve">Due to his poverty, </w:t>
      </w:r>
      <w:r w:rsidR="00FA6F11" w:rsidRPr="00E96FEF">
        <w:rPr>
          <w:b/>
          <w:sz w:val="24"/>
          <w:szCs w:val="24"/>
        </w:rPr>
        <w:t xml:space="preserve">Mr. </w:t>
      </w:r>
      <w:r w:rsidR="00FA6F11" w:rsidRPr="00E96FEF">
        <w:rPr>
          <w:b/>
          <w:color w:val="FF0000"/>
          <w:sz w:val="24"/>
          <w:szCs w:val="24"/>
        </w:rPr>
        <w:t>Doe</w:t>
      </w:r>
      <w:r w:rsidR="00FA6F11" w:rsidRPr="00E96FEF">
        <w:rPr>
          <w:color w:val="FF0000"/>
          <w:sz w:val="24"/>
          <w:szCs w:val="24"/>
        </w:rPr>
        <w:t xml:space="preserve"> </w:t>
      </w:r>
      <w:r w:rsidRPr="00E96FEF">
        <w:rPr>
          <w:b/>
          <w:sz w:val="24"/>
          <w:szCs w:val="24"/>
        </w:rPr>
        <w:t>lacks the ability to pay court costs.</w:t>
      </w:r>
    </w:p>
    <w:p w14:paraId="4D429111" w14:textId="77777777" w:rsidR="00557C28" w:rsidRDefault="00557C28" w:rsidP="00557C28">
      <w:pPr>
        <w:rPr>
          <w:b/>
          <w:sz w:val="24"/>
          <w:szCs w:val="24"/>
        </w:rPr>
      </w:pPr>
    </w:p>
    <w:p w14:paraId="205C56DE" w14:textId="7FC6CBDD" w:rsidR="00557C28" w:rsidRPr="002A0877" w:rsidRDefault="00557C28" w:rsidP="002A0877">
      <w:pPr>
        <w:widowControl/>
        <w:spacing w:line="480" w:lineRule="auto"/>
        <w:ind w:firstLine="720"/>
        <w:rPr>
          <w:sz w:val="24"/>
          <w:szCs w:val="24"/>
        </w:rPr>
      </w:pPr>
      <w:r w:rsidRPr="002A0877">
        <w:rPr>
          <w:sz w:val="24"/>
          <w:szCs w:val="24"/>
        </w:rPr>
        <w:t xml:space="preserve">Whether a defendant can afford to pay court costs is defined by whether </w:t>
      </w:r>
      <w:r w:rsidR="00545755" w:rsidRPr="002A0877">
        <w:rPr>
          <w:sz w:val="24"/>
          <w:szCs w:val="24"/>
        </w:rPr>
        <w:t>that person</w:t>
      </w:r>
      <w:r w:rsidRPr="002A0877">
        <w:rPr>
          <w:sz w:val="24"/>
          <w:szCs w:val="24"/>
        </w:rPr>
        <w:t xml:space="preserve"> is able to afford to meet his basic life needs. </w:t>
      </w:r>
      <w:r w:rsidRPr="002A0877">
        <w:rPr>
          <w:rFonts w:eastAsia="Times New Roman"/>
          <w:i/>
          <w:sz w:val="24"/>
          <w:szCs w:val="24"/>
        </w:rPr>
        <w:t xml:space="preserve">See </w:t>
      </w:r>
      <w:r w:rsidR="00396A95" w:rsidRPr="002A0877">
        <w:rPr>
          <w:i/>
          <w:sz w:val="24"/>
          <w:szCs w:val="24"/>
        </w:rPr>
        <w:t xml:space="preserve">Stein Enterprises, Inc. v. </w:t>
      </w:r>
      <w:proofErr w:type="spellStart"/>
      <w:r w:rsidR="00396A95" w:rsidRPr="002A0877">
        <w:rPr>
          <w:i/>
          <w:sz w:val="24"/>
          <w:szCs w:val="24"/>
        </w:rPr>
        <w:t>Golla</w:t>
      </w:r>
      <w:proofErr w:type="spellEnd"/>
      <w:r w:rsidR="00396A95" w:rsidRPr="002A0877">
        <w:rPr>
          <w:sz w:val="24"/>
          <w:szCs w:val="24"/>
        </w:rPr>
        <w:t>, 426 A.2d 1129, 1132 (Pa. 1981)</w:t>
      </w:r>
      <w:r w:rsidR="00396A95" w:rsidRPr="002A0877">
        <w:rPr>
          <w:rFonts w:eastAsia="Times New Roman"/>
          <w:sz w:val="24"/>
          <w:szCs w:val="24"/>
        </w:rPr>
        <w:t xml:space="preserve"> </w:t>
      </w:r>
      <w:r w:rsidRPr="002A0877">
        <w:rPr>
          <w:rFonts w:eastAsia="Times New Roman"/>
          <w:sz w:val="24"/>
          <w:szCs w:val="24"/>
        </w:rPr>
        <w:t>(“[I]f the individual can afford to pay court costs only by sacrificing some of the items and services which are necessary for his day-to-day existence, he may not be forced to prepay costs in order to gain access to the courts, despite the fact that he may have some ‘excess’ income or unencumbered</w:t>
      </w:r>
      <w:r w:rsidR="00396A95" w:rsidRPr="002A0877">
        <w:rPr>
          <w:rFonts w:eastAsia="Times New Roman"/>
          <w:sz w:val="24"/>
          <w:szCs w:val="24"/>
        </w:rPr>
        <w:t xml:space="preserve"> assets.”).</w:t>
      </w:r>
      <w:r w:rsidR="004345A9">
        <w:rPr>
          <w:rStyle w:val="FootnoteReference"/>
          <w:rFonts w:eastAsia="Times New Roman"/>
          <w:sz w:val="24"/>
          <w:szCs w:val="24"/>
        </w:rPr>
        <w:footnoteReference w:id="4"/>
      </w:r>
      <w:r w:rsidR="00396A95" w:rsidRPr="002A0877">
        <w:rPr>
          <w:rFonts w:eastAsia="Times New Roman"/>
          <w:sz w:val="24"/>
          <w:szCs w:val="24"/>
        </w:rPr>
        <w:t xml:space="preserve"> Individuals like </w:t>
      </w:r>
      <w:r w:rsidR="00396A95" w:rsidRPr="002A0877">
        <w:rPr>
          <w:sz w:val="24"/>
          <w:szCs w:val="24"/>
        </w:rPr>
        <w:t xml:space="preserve">Mr. </w:t>
      </w:r>
      <w:r w:rsidR="00396A95" w:rsidRPr="002A0877">
        <w:rPr>
          <w:color w:val="FF0000"/>
          <w:sz w:val="24"/>
          <w:szCs w:val="24"/>
        </w:rPr>
        <w:t xml:space="preserve">Doe, </w:t>
      </w:r>
      <w:r w:rsidRPr="002A0877">
        <w:rPr>
          <w:rFonts w:eastAsia="Times New Roman"/>
          <w:sz w:val="24"/>
          <w:szCs w:val="24"/>
        </w:rPr>
        <w:t xml:space="preserve">who </w:t>
      </w:r>
      <w:r w:rsidR="00557242" w:rsidRPr="002A0877">
        <w:rPr>
          <w:rFonts w:eastAsia="Times New Roman"/>
          <w:sz w:val="24"/>
          <w:szCs w:val="24"/>
        </w:rPr>
        <w:t xml:space="preserve">are </w:t>
      </w:r>
      <w:r w:rsidRPr="002A0877">
        <w:rPr>
          <w:rFonts w:eastAsia="Times New Roman"/>
          <w:sz w:val="24"/>
          <w:szCs w:val="24"/>
        </w:rPr>
        <w:t>indigent and impoverished</w:t>
      </w:r>
      <w:r w:rsidR="00396A95" w:rsidRPr="002A0877">
        <w:rPr>
          <w:rFonts w:eastAsia="Times New Roman"/>
          <w:sz w:val="24"/>
          <w:szCs w:val="24"/>
        </w:rPr>
        <w:t>,</w:t>
      </w:r>
      <w:r w:rsidRPr="002A0877">
        <w:rPr>
          <w:rFonts w:eastAsia="Times New Roman"/>
          <w:sz w:val="24"/>
          <w:szCs w:val="24"/>
        </w:rPr>
        <w:t xml:space="preserve"> are by definition unable to pay: if they are “</w:t>
      </w:r>
      <w:r w:rsidRPr="002A0877">
        <w:rPr>
          <w:sz w:val="24"/>
          <w:szCs w:val="24"/>
        </w:rPr>
        <w:t xml:space="preserve">in poverty, it follows that they are unable to pay the costs, and their petition should be granted.” </w:t>
      </w:r>
      <w:proofErr w:type="spellStart"/>
      <w:r w:rsidRPr="002A0877">
        <w:rPr>
          <w:i/>
          <w:sz w:val="24"/>
          <w:szCs w:val="24"/>
        </w:rPr>
        <w:t>Gerlitzki</w:t>
      </w:r>
      <w:proofErr w:type="spellEnd"/>
      <w:r w:rsidRPr="002A0877">
        <w:rPr>
          <w:i/>
          <w:sz w:val="24"/>
          <w:szCs w:val="24"/>
        </w:rPr>
        <w:t xml:space="preserve"> v. </w:t>
      </w:r>
      <w:proofErr w:type="spellStart"/>
      <w:r w:rsidRPr="002A0877">
        <w:rPr>
          <w:i/>
          <w:sz w:val="24"/>
          <w:szCs w:val="24"/>
        </w:rPr>
        <w:t>Feldser</w:t>
      </w:r>
      <w:proofErr w:type="spellEnd"/>
      <w:r w:rsidRPr="002A0877">
        <w:rPr>
          <w:sz w:val="24"/>
          <w:szCs w:val="24"/>
        </w:rPr>
        <w:t xml:space="preserve">, 307 A.2d 307, </w:t>
      </w:r>
      <w:r w:rsidRPr="002A0877">
        <w:rPr>
          <w:sz w:val="24"/>
          <w:szCs w:val="24"/>
        </w:rPr>
        <w:lastRenderedPageBreak/>
        <w:t>308 (Pa. Super. Ct. 1973) (</w:t>
      </w:r>
      <w:proofErr w:type="spellStart"/>
      <w:r w:rsidRPr="002A0877">
        <w:rPr>
          <w:sz w:val="24"/>
          <w:szCs w:val="24"/>
        </w:rPr>
        <w:t>en</w:t>
      </w:r>
      <w:proofErr w:type="spellEnd"/>
      <w:r w:rsidRPr="002A0877">
        <w:rPr>
          <w:sz w:val="24"/>
          <w:szCs w:val="24"/>
        </w:rPr>
        <w:t xml:space="preserve"> banc). In other words, an indigent individual is—as a matter of law—</w:t>
      </w:r>
      <w:r w:rsidRPr="002A0877">
        <w:rPr>
          <w:i/>
          <w:sz w:val="24"/>
          <w:szCs w:val="24"/>
        </w:rPr>
        <w:t>unable</w:t>
      </w:r>
      <w:r w:rsidRPr="002A0877">
        <w:rPr>
          <w:sz w:val="24"/>
          <w:szCs w:val="24"/>
        </w:rPr>
        <w:t xml:space="preserve"> to pay. </w:t>
      </w:r>
      <w:r w:rsidRPr="002A0877">
        <w:rPr>
          <w:i/>
          <w:sz w:val="24"/>
          <w:szCs w:val="24"/>
        </w:rPr>
        <w:t xml:space="preserve">See </w:t>
      </w:r>
      <w:proofErr w:type="spellStart"/>
      <w:r w:rsidRPr="002A0877">
        <w:rPr>
          <w:i/>
          <w:sz w:val="24"/>
          <w:szCs w:val="24"/>
        </w:rPr>
        <w:t>Schoepple</w:t>
      </w:r>
      <w:proofErr w:type="spellEnd"/>
      <w:r w:rsidRPr="002A0877">
        <w:rPr>
          <w:i/>
          <w:sz w:val="24"/>
          <w:szCs w:val="24"/>
        </w:rPr>
        <w:t xml:space="preserve"> v. </w:t>
      </w:r>
      <w:proofErr w:type="spellStart"/>
      <w:r w:rsidRPr="002A0877">
        <w:rPr>
          <w:i/>
          <w:sz w:val="24"/>
          <w:szCs w:val="24"/>
        </w:rPr>
        <w:t>Schoepple</w:t>
      </w:r>
      <w:proofErr w:type="spellEnd"/>
      <w:r w:rsidRPr="002A0877">
        <w:rPr>
          <w:sz w:val="24"/>
          <w:szCs w:val="24"/>
        </w:rPr>
        <w:t>, 361 A.2d 665, 667 (Pa. Super Ct. 1976) (</w:t>
      </w:r>
      <w:proofErr w:type="spellStart"/>
      <w:r w:rsidRPr="002A0877">
        <w:rPr>
          <w:sz w:val="24"/>
          <w:szCs w:val="24"/>
        </w:rPr>
        <w:t>en</w:t>
      </w:r>
      <w:proofErr w:type="spellEnd"/>
      <w:r w:rsidRPr="002A0877">
        <w:rPr>
          <w:sz w:val="24"/>
          <w:szCs w:val="24"/>
        </w:rPr>
        <w:t xml:space="preserve"> banc) (“[O]ne in poverty will not be able to pay costs.”). </w:t>
      </w:r>
    </w:p>
    <w:p w14:paraId="117D4C62" w14:textId="737CBF77" w:rsidR="00557C28" w:rsidRDefault="00557C28" w:rsidP="002A0877">
      <w:pPr>
        <w:widowControl/>
        <w:spacing w:line="480" w:lineRule="auto"/>
        <w:ind w:firstLine="720"/>
        <w:rPr>
          <w:sz w:val="24"/>
          <w:szCs w:val="24"/>
        </w:rPr>
      </w:pPr>
      <w:r w:rsidRPr="002A0877">
        <w:rPr>
          <w:sz w:val="24"/>
          <w:szCs w:val="24"/>
        </w:rPr>
        <w:t xml:space="preserve">Those </w:t>
      </w:r>
      <w:r w:rsidRPr="002A0877">
        <w:rPr>
          <w:i/>
          <w:sz w:val="24"/>
          <w:szCs w:val="24"/>
        </w:rPr>
        <w:t xml:space="preserve">in forma </w:t>
      </w:r>
      <w:proofErr w:type="spellStart"/>
      <w:r w:rsidRPr="002A0877">
        <w:rPr>
          <w:i/>
          <w:sz w:val="24"/>
          <w:szCs w:val="24"/>
        </w:rPr>
        <w:t>pauperis</w:t>
      </w:r>
      <w:proofErr w:type="spellEnd"/>
      <w:r w:rsidRPr="002A0877">
        <w:rPr>
          <w:sz w:val="24"/>
          <w:szCs w:val="24"/>
        </w:rPr>
        <w:t xml:space="preserve"> indigence standards dovetail with standards the Superior Court has set forth in criminal cases. As that court has explained, the constitution requires that there be a “duty of paying costs ‘only against those who actually become able to meet it without hardship.’” </w:t>
      </w:r>
      <w:r w:rsidRPr="002A0877">
        <w:rPr>
          <w:i/>
          <w:sz w:val="24"/>
          <w:szCs w:val="24"/>
        </w:rPr>
        <w:t>Commonwealth v. Hernandez</w:t>
      </w:r>
      <w:r w:rsidRPr="002A0877">
        <w:rPr>
          <w:sz w:val="24"/>
          <w:szCs w:val="24"/>
        </w:rPr>
        <w:t xml:space="preserve">, 917 A.2d 332, 337 (Pa. Super. Ct. 2007) (quoting </w:t>
      </w:r>
      <w:r w:rsidRPr="002A0877">
        <w:rPr>
          <w:i/>
          <w:sz w:val="24"/>
          <w:szCs w:val="24"/>
        </w:rPr>
        <w:t>Fuller v. Oregon</w:t>
      </w:r>
      <w:r w:rsidRPr="002A0877">
        <w:rPr>
          <w:sz w:val="24"/>
          <w:szCs w:val="24"/>
        </w:rPr>
        <w:t xml:space="preserve">, 417 U.S. 40, 54 (1974)). In making this ruling, the </w:t>
      </w:r>
      <w:r w:rsidRPr="002A0877">
        <w:rPr>
          <w:i/>
          <w:sz w:val="24"/>
          <w:szCs w:val="24"/>
        </w:rPr>
        <w:t>Hernandez</w:t>
      </w:r>
      <w:r w:rsidRPr="002A0877">
        <w:rPr>
          <w:sz w:val="24"/>
          <w:szCs w:val="24"/>
        </w:rPr>
        <w:t xml:space="preserve"> court cited with approval </w:t>
      </w:r>
      <w:r w:rsidRPr="002A0877">
        <w:rPr>
          <w:i/>
          <w:sz w:val="24"/>
          <w:szCs w:val="24"/>
        </w:rPr>
        <w:t>Alexander v. Johnson</w:t>
      </w:r>
      <w:r w:rsidRPr="002A0877">
        <w:rPr>
          <w:sz w:val="24"/>
          <w:szCs w:val="24"/>
        </w:rPr>
        <w:t>, 742 F.2d 117, 124 (4th Cir. 1984), which held that a court must consider “the other demands on [the defendant’s] own and family</w:t>
      </w:r>
      <w:r w:rsidR="009C7F30" w:rsidRPr="002A0877">
        <w:rPr>
          <w:sz w:val="24"/>
          <w:szCs w:val="24"/>
        </w:rPr>
        <w:t>’</w:t>
      </w:r>
      <w:r w:rsidRPr="002A0877">
        <w:rPr>
          <w:sz w:val="24"/>
          <w:szCs w:val="24"/>
        </w:rPr>
        <w:t>s finances, and the hardships he or his family will endure if repayment is required. The purpose of this inquiry is to assure repayment is not required as long as he remains indigent.”</w:t>
      </w:r>
      <w:bookmarkStart w:id="0" w:name="_GoBack"/>
      <w:bookmarkEnd w:id="0"/>
      <w:r w:rsidRPr="002A0877">
        <w:rPr>
          <w:sz w:val="24"/>
          <w:szCs w:val="24"/>
        </w:rPr>
        <w:t xml:space="preserve"> </w:t>
      </w:r>
    </w:p>
    <w:p w14:paraId="1399998B" w14:textId="693D65F1" w:rsidR="00DE0CE7" w:rsidRPr="002A0877" w:rsidRDefault="00DE0CE7" w:rsidP="002A0877">
      <w:pPr>
        <w:widowControl/>
        <w:spacing w:line="480" w:lineRule="auto"/>
        <w:ind w:firstLine="720"/>
        <w:rPr>
          <w:sz w:val="24"/>
          <w:szCs w:val="24"/>
        </w:rPr>
      </w:pPr>
      <w:r>
        <w:rPr>
          <w:sz w:val="24"/>
          <w:szCs w:val="24"/>
        </w:rPr>
        <w:t xml:space="preserve">When considering whether a defendant is able to pay, this Court </w:t>
      </w:r>
      <w:r w:rsidRPr="00DE0CE7">
        <w:rPr>
          <w:sz w:val="24"/>
          <w:szCs w:val="24"/>
        </w:rPr>
        <w:t xml:space="preserve">can consider only the defendant’s finances, not those of friends or family, as the obligation to pay is the defendant’s alone. </w:t>
      </w:r>
      <w:r>
        <w:rPr>
          <w:i/>
          <w:sz w:val="24"/>
          <w:szCs w:val="24"/>
        </w:rPr>
        <w:t xml:space="preserve">See </w:t>
      </w:r>
      <w:r w:rsidRPr="00DE0CE7">
        <w:rPr>
          <w:i/>
          <w:sz w:val="24"/>
          <w:szCs w:val="24"/>
        </w:rPr>
        <w:t>Commonwealth v. Smetana</w:t>
      </w:r>
      <w:r w:rsidRPr="00DE0CE7">
        <w:rPr>
          <w:sz w:val="24"/>
          <w:szCs w:val="24"/>
        </w:rPr>
        <w:t>, 191 A.3d 867, 873 (Pa. Super. Ct. June 21, 2018) (“Although Appellant indicated that he could potentially borrow money from a sibling, the court failed to find—as our law requires—that he alone had the financial ability to pay the outstanding fines and costs such that imprisonment was warranted.”).</w:t>
      </w:r>
    </w:p>
    <w:p w14:paraId="3167657D" w14:textId="1AB196D8" w:rsidR="00557C28" w:rsidRDefault="00557C28" w:rsidP="002A0877">
      <w:pPr>
        <w:widowControl/>
        <w:spacing w:line="480" w:lineRule="auto"/>
        <w:ind w:firstLine="720"/>
        <w:rPr>
          <w:sz w:val="24"/>
          <w:szCs w:val="24"/>
        </w:rPr>
      </w:pPr>
      <w:r w:rsidRPr="002A0877">
        <w:rPr>
          <w:sz w:val="24"/>
          <w:szCs w:val="24"/>
        </w:rPr>
        <w:t xml:space="preserve">Given </w:t>
      </w:r>
      <w:r w:rsidR="00396A95" w:rsidRPr="002A0877">
        <w:rPr>
          <w:sz w:val="24"/>
          <w:szCs w:val="24"/>
        </w:rPr>
        <w:t xml:space="preserve">Mr. </w:t>
      </w:r>
      <w:r w:rsidR="00396A95" w:rsidRPr="002A0877">
        <w:rPr>
          <w:color w:val="FF0000"/>
          <w:sz w:val="24"/>
          <w:szCs w:val="24"/>
        </w:rPr>
        <w:t xml:space="preserve">Doe’s </w:t>
      </w:r>
      <w:r w:rsidRPr="002A0877">
        <w:rPr>
          <w:sz w:val="24"/>
          <w:szCs w:val="24"/>
        </w:rPr>
        <w:t xml:space="preserve">lack of financial resources, he cannot afford to pay without significant hardship. </w:t>
      </w:r>
      <w:r w:rsidRPr="002A0877">
        <w:rPr>
          <w:i/>
          <w:sz w:val="24"/>
          <w:szCs w:val="24"/>
        </w:rPr>
        <w:t>See Commonwealth v. Gaskin</w:t>
      </w:r>
      <w:r w:rsidRPr="002A0877">
        <w:rPr>
          <w:sz w:val="24"/>
          <w:szCs w:val="24"/>
        </w:rPr>
        <w:t xml:space="preserve">, 472 A.2d 1154, </w:t>
      </w:r>
      <w:r w:rsidR="003153E0" w:rsidRPr="002A0877">
        <w:rPr>
          <w:sz w:val="24"/>
          <w:szCs w:val="24"/>
        </w:rPr>
        <w:t>1157-58 (Pa. Super. Ct. 1984) (w</w:t>
      </w:r>
      <w:r w:rsidRPr="002A0877">
        <w:rPr>
          <w:sz w:val="24"/>
          <w:szCs w:val="24"/>
        </w:rPr>
        <w:t>hen a defendant has no “financial assets [or] liabilities” and has been “living from hand to mouth,” a court imposing a fine lacks any evidence supporting a fin</w:t>
      </w:r>
      <w:r w:rsidR="003153E0" w:rsidRPr="002A0877">
        <w:rPr>
          <w:sz w:val="24"/>
          <w:szCs w:val="24"/>
        </w:rPr>
        <w:t>ding of ability to pay the fine</w:t>
      </w:r>
      <w:r w:rsidRPr="002A0877">
        <w:rPr>
          <w:sz w:val="24"/>
          <w:szCs w:val="24"/>
        </w:rPr>
        <w:t xml:space="preserve">); </w:t>
      </w:r>
      <w:r w:rsidRPr="002A0877">
        <w:rPr>
          <w:i/>
          <w:sz w:val="24"/>
          <w:szCs w:val="24"/>
        </w:rPr>
        <w:t>Commonwealth v. Eggers</w:t>
      </w:r>
      <w:r w:rsidRPr="002A0877">
        <w:rPr>
          <w:sz w:val="24"/>
          <w:szCs w:val="24"/>
        </w:rPr>
        <w:t xml:space="preserve">, 742 A.2d 174, 176 n.1 (Pa. Super. Ct. 1999) (receiving public </w:t>
      </w:r>
      <w:r w:rsidRPr="002A0877">
        <w:rPr>
          <w:sz w:val="24"/>
          <w:szCs w:val="24"/>
        </w:rPr>
        <w:lastRenderedPageBreak/>
        <w:t xml:space="preserve">assistance (such as food stamps or Medicaid) and the service of the public defender “invite the presumption of indigence” since these are clear indicia that the defendant cannot afford to pay). </w:t>
      </w:r>
      <w:r w:rsidR="00396A95" w:rsidRPr="002A0877">
        <w:rPr>
          <w:sz w:val="24"/>
          <w:szCs w:val="24"/>
        </w:rPr>
        <w:t>[</w:t>
      </w:r>
      <w:proofErr w:type="gramStart"/>
      <w:r w:rsidR="00396A95" w:rsidRPr="002A0877">
        <w:rPr>
          <w:color w:val="FF0000"/>
          <w:sz w:val="24"/>
          <w:szCs w:val="24"/>
        </w:rPr>
        <w:t>brief</w:t>
      </w:r>
      <w:proofErr w:type="gramEnd"/>
      <w:r w:rsidR="00396A95" w:rsidRPr="002A0877">
        <w:rPr>
          <w:color w:val="FF0000"/>
          <w:sz w:val="24"/>
          <w:szCs w:val="24"/>
        </w:rPr>
        <w:t xml:space="preserve"> summary of financial hardship]</w:t>
      </w:r>
      <w:r w:rsidR="00F70391" w:rsidRPr="002A0877">
        <w:rPr>
          <w:color w:val="FF0000"/>
          <w:sz w:val="24"/>
          <w:szCs w:val="24"/>
        </w:rPr>
        <w:t xml:space="preserve"> He</w:t>
      </w:r>
      <w:r w:rsidR="00F70391" w:rsidRPr="002A0877">
        <w:rPr>
          <w:sz w:val="24"/>
          <w:szCs w:val="24"/>
        </w:rPr>
        <w:t xml:space="preserve"> therefore </w:t>
      </w:r>
      <w:r w:rsidRPr="002A0877">
        <w:rPr>
          <w:sz w:val="24"/>
          <w:szCs w:val="24"/>
        </w:rPr>
        <w:t>has no ability to pay the costs in this matter.</w:t>
      </w:r>
    </w:p>
    <w:p w14:paraId="217B2884" w14:textId="595EBFE7" w:rsidR="005155E9" w:rsidRPr="005155E9" w:rsidRDefault="005155E9" w:rsidP="005155E9">
      <w:pPr>
        <w:pStyle w:val="FootnoteText"/>
        <w:numPr>
          <w:ilvl w:val="0"/>
          <w:numId w:val="40"/>
        </w:numPr>
        <w:spacing w:line="480" w:lineRule="auto"/>
        <w:jc w:val="center"/>
        <w:rPr>
          <w:rFonts w:eastAsiaTheme="minorEastAsia" w:cs="Times New Roman"/>
          <w:b/>
          <w:sz w:val="24"/>
          <w:szCs w:val="24"/>
        </w:rPr>
      </w:pPr>
      <w:r>
        <w:rPr>
          <w:rFonts w:eastAsiaTheme="minorEastAsia" w:cs="Times New Roman"/>
          <w:b/>
          <w:sz w:val="24"/>
          <w:szCs w:val="24"/>
        </w:rPr>
        <w:t>Conclusion</w:t>
      </w:r>
    </w:p>
    <w:p w14:paraId="6669A601" w14:textId="48C0A4B2" w:rsidR="001072F2" w:rsidRPr="005752C5" w:rsidRDefault="002A0877" w:rsidP="00A828FB">
      <w:pPr>
        <w:pStyle w:val="FootnoteText"/>
        <w:spacing w:line="480" w:lineRule="auto"/>
        <w:ind w:firstLine="720"/>
        <w:rPr>
          <w:rFonts w:cs="Times New Roman"/>
          <w:sz w:val="24"/>
          <w:szCs w:val="24"/>
        </w:rPr>
      </w:pPr>
      <w:r>
        <w:rPr>
          <w:rFonts w:eastAsiaTheme="minorEastAsia" w:cs="Times New Roman"/>
          <w:sz w:val="24"/>
          <w:szCs w:val="24"/>
        </w:rPr>
        <w:t>For the reasons s</w:t>
      </w:r>
      <w:r w:rsidR="00E42F13">
        <w:rPr>
          <w:rFonts w:eastAsiaTheme="minorEastAsia" w:cs="Times New Roman"/>
          <w:sz w:val="24"/>
          <w:szCs w:val="24"/>
        </w:rPr>
        <w:t xml:space="preserve">tated above, </w:t>
      </w:r>
      <w:r w:rsidR="00061F5F" w:rsidRPr="002D5AFD">
        <w:rPr>
          <w:sz w:val="24"/>
          <w:szCs w:val="24"/>
        </w:rPr>
        <w:t xml:space="preserve">Mr. </w:t>
      </w:r>
      <w:r w:rsidR="00061F5F" w:rsidRPr="002D5AFD">
        <w:rPr>
          <w:color w:val="FF0000"/>
          <w:sz w:val="24"/>
          <w:szCs w:val="24"/>
        </w:rPr>
        <w:t xml:space="preserve">Doe </w:t>
      </w:r>
      <w:r w:rsidR="00E42F13">
        <w:rPr>
          <w:rFonts w:eastAsiaTheme="minorEastAsia" w:cs="Times New Roman"/>
          <w:sz w:val="24"/>
          <w:szCs w:val="24"/>
        </w:rPr>
        <w:t xml:space="preserve">respectfully requests that this Court grant </w:t>
      </w:r>
      <w:r w:rsidR="00061F5F">
        <w:rPr>
          <w:rFonts w:eastAsiaTheme="minorEastAsia" w:cs="Times New Roman"/>
          <w:sz w:val="24"/>
          <w:szCs w:val="24"/>
        </w:rPr>
        <w:t xml:space="preserve">his </w:t>
      </w:r>
      <w:r>
        <w:rPr>
          <w:rFonts w:eastAsiaTheme="minorEastAsia" w:cs="Times New Roman"/>
          <w:sz w:val="24"/>
          <w:szCs w:val="24"/>
        </w:rPr>
        <w:t>M</w:t>
      </w:r>
      <w:r w:rsidR="00061F5F">
        <w:rPr>
          <w:rFonts w:eastAsiaTheme="minorEastAsia" w:cs="Times New Roman"/>
          <w:sz w:val="24"/>
          <w:szCs w:val="24"/>
        </w:rPr>
        <w:t>otion and waive all outstanding court costs.</w:t>
      </w:r>
      <w:r w:rsidR="001D3F51">
        <w:rPr>
          <w:rFonts w:eastAsiaTheme="minorEastAsia" w:cs="Times New Roman"/>
          <w:sz w:val="24"/>
          <w:szCs w:val="24"/>
        </w:rPr>
        <w:t xml:space="preserve"> </w:t>
      </w:r>
      <w:r w:rsidR="001D3F51" w:rsidRPr="005752C5">
        <w:rPr>
          <w:rFonts w:cs="Times New Roman"/>
          <w:sz w:val="24"/>
          <w:szCs w:val="24"/>
        </w:rPr>
        <w:t xml:space="preserve"> </w:t>
      </w:r>
    </w:p>
    <w:p w14:paraId="7E1258C4" w14:textId="77777777" w:rsidR="006C3C15" w:rsidRPr="005752C5" w:rsidRDefault="006C3C15" w:rsidP="006C3C15">
      <w:pPr>
        <w:spacing w:line="480" w:lineRule="auto"/>
        <w:ind w:left="5040" w:firstLine="720"/>
        <w:rPr>
          <w:sz w:val="24"/>
          <w:szCs w:val="24"/>
        </w:rPr>
      </w:pPr>
      <w:r w:rsidRPr="005752C5">
        <w:rPr>
          <w:sz w:val="24"/>
          <w:szCs w:val="24"/>
        </w:rPr>
        <w:t>Respectfully submitted,</w:t>
      </w:r>
    </w:p>
    <w:p w14:paraId="20E44054" w14:textId="77777777" w:rsidR="006C3C15" w:rsidRPr="005752C5" w:rsidRDefault="006C3C15" w:rsidP="006C3C15">
      <w:pPr>
        <w:spacing w:line="480" w:lineRule="auto"/>
        <w:ind w:left="5040" w:firstLine="720"/>
        <w:rPr>
          <w:sz w:val="24"/>
          <w:szCs w:val="24"/>
        </w:rPr>
      </w:pPr>
    </w:p>
    <w:p w14:paraId="6F84AA5C" w14:textId="77777777" w:rsidR="006C3C15" w:rsidRPr="005752C5" w:rsidRDefault="006C3C15" w:rsidP="006C3C15">
      <w:pPr>
        <w:ind w:left="5040" w:firstLine="720"/>
        <w:rPr>
          <w:sz w:val="24"/>
          <w:szCs w:val="24"/>
        </w:rPr>
      </w:pPr>
      <w:r w:rsidRPr="005752C5">
        <w:rPr>
          <w:sz w:val="24"/>
          <w:szCs w:val="24"/>
        </w:rPr>
        <w:t>___________________________</w:t>
      </w:r>
    </w:p>
    <w:p w14:paraId="14C91704" w14:textId="484950C1" w:rsidR="00C869F9" w:rsidRPr="005752C5" w:rsidRDefault="00BA7231" w:rsidP="00AB187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block]</w:t>
      </w:r>
      <w:r w:rsidR="00F47C0B" w:rsidRPr="005752C5">
        <w:rPr>
          <w:sz w:val="24"/>
          <w:szCs w:val="24"/>
        </w:rPr>
        <w:tab/>
      </w:r>
    </w:p>
    <w:p w14:paraId="6D6A95BC" w14:textId="77777777" w:rsidR="00C87724" w:rsidRPr="005752C5" w:rsidRDefault="00C87724" w:rsidP="00C869F9">
      <w:pPr>
        <w:rPr>
          <w:sz w:val="24"/>
          <w:szCs w:val="24"/>
        </w:rPr>
      </w:pPr>
    </w:p>
    <w:sectPr w:rsidR="00C87724" w:rsidRPr="005752C5">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2F267C" w16cid:durableId="1EF1A2A2"/>
  <w16cid:commentId w16cid:paraId="0ECBAB01" w16cid:durableId="1EF1A3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F84A2" w14:textId="77777777" w:rsidR="00050A00" w:rsidRDefault="00050A00" w:rsidP="00144746">
      <w:r>
        <w:separator/>
      </w:r>
    </w:p>
  </w:endnote>
  <w:endnote w:type="continuationSeparator" w:id="0">
    <w:p w14:paraId="175F11FA" w14:textId="77777777" w:rsidR="00050A00" w:rsidRDefault="00050A00" w:rsidP="001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380531"/>
      <w:docPartObj>
        <w:docPartGallery w:val="Page Numbers (Bottom of Page)"/>
        <w:docPartUnique/>
      </w:docPartObj>
    </w:sdtPr>
    <w:sdtEndPr>
      <w:rPr>
        <w:noProof/>
      </w:rPr>
    </w:sdtEndPr>
    <w:sdtContent>
      <w:p w14:paraId="277E2F89" w14:textId="3782BD3E" w:rsidR="00463086" w:rsidRDefault="00463086">
        <w:pPr>
          <w:pStyle w:val="Footer"/>
          <w:jc w:val="center"/>
        </w:pPr>
        <w:r>
          <w:fldChar w:fldCharType="begin"/>
        </w:r>
        <w:r>
          <w:instrText xml:space="preserve"> PAGE   \* MERGEFORMAT </w:instrText>
        </w:r>
        <w:r>
          <w:fldChar w:fldCharType="separate"/>
        </w:r>
        <w:r w:rsidR="00DE0CE7">
          <w:rPr>
            <w:noProof/>
          </w:rPr>
          <w:t>4</w:t>
        </w:r>
        <w:r>
          <w:rPr>
            <w:noProof/>
          </w:rPr>
          <w:fldChar w:fldCharType="end"/>
        </w:r>
      </w:p>
    </w:sdtContent>
  </w:sdt>
  <w:p w14:paraId="2EF270DD" w14:textId="77777777" w:rsidR="00463086" w:rsidRDefault="00463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FD5A1" w14:textId="77777777" w:rsidR="00050A00" w:rsidRDefault="00050A00" w:rsidP="00144746">
      <w:r>
        <w:separator/>
      </w:r>
    </w:p>
  </w:footnote>
  <w:footnote w:type="continuationSeparator" w:id="0">
    <w:p w14:paraId="22762126" w14:textId="77777777" w:rsidR="00050A00" w:rsidRDefault="00050A00" w:rsidP="00144746">
      <w:r>
        <w:continuationSeparator/>
      </w:r>
    </w:p>
  </w:footnote>
  <w:footnote w:id="1">
    <w:p w14:paraId="6A22A71F" w14:textId="77777777" w:rsidR="008136D1" w:rsidRPr="00A64499" w:rsidRDefault="008136D1" w:rsidP="008136D1">
      <w:pPr>
        <w:pStyle w:val="FootnoteText"/>
      </w:pPr>
      <w:r w:rsidRPr="00A64499">
        <w:rPr>
          <w:rStyle w:val="FootnoteReference"/>
        </w:rPr>
        <w:footnoteRef/>
      </w:r>
      <w:r w:rsidRPr="00A64499">
        <w:t xml:space="preserve"> The phrase “in determining the amount and method of payment of a” fine or cost is a term of art that refers to determining the </w:t>
      </w:r>
      <w:r w:rsidRPr="00A64499">
        <w:rPr>
          <w:i/>
        </w:rPr>
        <w:t>total amount</w:t>
      </w:r>
      <w:r w:rsidRPr="00A64499">
        <w:t xml:space="preserve"> that the defendant owes. The same language is in 42 </w:t>
      </w:r>
      <w:proofErr w:type="spellStart"/>
      <w:r w:rsidRPr="00A64499">
        <w:t>Pa</w:t>
      </w:r>
      <w:r>
        <w:t>.C.S</w:t>
      </w:r>
      <w:proofErr w:type="spellEnd"/>
      <w:r>
        <w:t xml:space="preserve">. </w:t>
      </w:r>
      <w:r w:rsidRPr="00A64499">
        <w:t xml:space="preserve">§ 9726(d) (addressing fines), and case law is clear that it refers to the total amount that is owed, not the payment plan requiring specific monthly installments. </w:t>
      </w:r>
      <w:r w:rsidRPr="00A64499">
        <w:rPr>
          <w:i/>
        </w:rPr>
        <w:t>See</w:t>
      </w:r>
      <w:r w:rsidRPr="00A64499">
        <w:t xml:space="preserve">, </w:t>
      </w:r>
      <w:r w:rsidRPr="00A64499">
        <w:rPr>
          <w:i/>
        </w:rPr>
        <w:t>e.g.</w:t>
      </w:r>
      <w:r w:rsidRPr="00A64499">
        <w:t xml:space="preserve">, </w:t>
      </w:r>
      <w:r w:rsidRPr="00A64499">
        <w:rPr>
          <w:i/>
        </w:rPr>
        <w:t xml:space="preserve">Commonwealth v. </w:t>
      </w:r>
      <w:proofErr w:type="spellStart"/>
      <w:r w:rsidRPr="00A64499">
        <w:rPr>
          <w:i/>
        </w:rPr>
        <w:t>Croll</w:t>
      </w:r>
      <w:proofErr w:type="spellEnd"/>
      <w:r w:rsidRPr="00A64499">
        <w:t xml:space="preserve">, 480 A.2d 266, 275-76 (Pa. Super. Ct. 1984) (§ 9726(c) and (d) require that a court consider the defendant’s ability to pay the entire fine). By contrast, Rule 706(B) governs payment plans. </w:t>
      </w:r>
    </w:p>
  </w:footnote>
  <w:footnote w:id="2">
    <w:p w14:paraId="4E7247B3" w14:textId="77777777" w:rsidR="008136D1" w:rsidRPr="00C507BB" w:rsidRDefault="008136D1" w:rsidP="008136D1">
      <w:pPr>
        <w:pStyle w:val="FootnoteText"/>
      </w:pPr>
      <w:r w:rsidRPr="00A64499">
        <w:rPr>
          <w:rStyle w:val="FootnoteReference"/>
        </w:rPr>
        <w:footnoteRef/>
      </w:r>
      <w:r w:rsidRPr="00A64499">
        <w:t xml:space="preserve"> A court’s authority under Rule 706(C) is not limited to a hearing after a defendant defaults on </w:t>
      </w:r>
      <w:r>
        <w:rPr>
          <w:color w:val="FF0000"/>
        </w:rPr>
        <w:t>his</w:t>
      </w:r>
      <w:r w:rsidRPr="0020522B">
        <w:rPr>
          <w:color w:val="FF0000"/>
        </w:rPr>
        <w:t xml:space="preserve"> </w:t>
      </w:r>
      <w:r w:rsidRPr="00A64499">
        <w:t>payments, something governed by subsections (A) and (D). Instead, it applies when a court is asked to consider the total amount of fines and co</w:t>
      </w:r>
      <w:r>
        <w:t xml:space="preserve">sts that a defendant should owe. </w:t>
      </w:r>
      <w:r w:rsidRPr="00891BA9">
        <w:rPr>
          <w:i/>
        </w:rPr>
        <w:t>See Commonwealth v. Martin</w:t>
      </w:r>
      <w:r w:rsidRPr="00891BA9">
        <w:t>, 335 A.2d</w:t>
      </w:r>
      <w:r>
        <w:t xml:space="preserve"> 424, 425-26 (</w:t>
      </w:r>
      <w:proofErr w:type="spellStart"/>
      <w:r>
        <w:t>en</w:t>
      </w:r>
      <w:proofErr w:type="spellEnd"/>
      <w:r>
        <w:t xml:space="preserve"> banc) (trial court erred by imposing a fine without considering the defendant’s ability to pay, as required by Rule 706(C) (previously 1407)). </w:t>
      </w:r>
    </w:p>
  </w:footnote>
  <w:footnote w:id="3">
    <w:p w14:paraId="11357180" w14:textId="77777777" w:rsidR="008136D1" w:rsidRPr="00A64499" w:rsidRDefault="008136D1" w:rsidP="008136D1">
      <w:pPr>
        <w:pStyle w:val="FootnoteText"/>
      </w:pPr>
      <w:r w:rsidRPr="00A64499">
        <w:rPr>
          <w:rStyle w:val="FootnoteReference"/>
        </w:rPr>
        <w:footnoteRef/>
      </w:r>
      <w:r w:rsidRPr="00A64499">
        <w:t xml:space="preserve"> Even if there is some irreconcilable conflict between the statues imposing costs and § 9728(b.2), the specific provision prevails over general </w:t>
      </w:r>
      <w:r>
        <w:t xml:space="preserve">provisions </w:t>
      </w:r>
      <w:r w:rsidRPr="00A64499">
        <w:t>“</w:t>
      </w:r>
      <w:r w:rsidRPr="00A64499">
        <w:rPr>
          <w:i/>
        </w:rPr>
        <w:t>unless</w:t>
      </w:r>
      <w:r w:rsidRPr="00A64499">
        <w:t xml:space="preserve"> the general provision shall be enacted later and it shall be the manifest intention of the General Assembly that such general </w:t>
      </w:r>
      <w:r>
        <w:t xml:space="preserve">provision shall prevail.” 1 </w:t>
      </w:r>
      <w:proofErr w:type="spellStart"/>
      <w:r>
        <w:t>Pa.C.S</w:t>
      </w:r>
      <w:proofErr w:type="spellEnd"/>
      <w:r>
        <w:t xml:space="preserve">. </w:t>
      </w:r>
      <w:r w:rsidRPr="00A64499">
        <w:t xml:space="preserve">§ 1933 (emphasis added). Section 9728(b.2), which was adopted in 2010, applies “Notwithstanding any provision of law to the contrary.” When that language is used, as a matter of statutory interpretation, such language “clearly indicates that the legislature intended to limit the application of prior” statutes. </w:t>
      </w:r>
      <w:r w:rsidRPr="00A64499">
        <w:rPr>
          <w:i/>
        </w:rPr>
        <w:t>Commonwealth v. Smith</w:t>
      </w:r>
      <w:r w:rsidRPr="00A64499">
        <w:t>, 544 A.2d 991, 998 (Pa. Super. Ct. 1988) (</w:t>
      </w:r>
      <w:proofErr w:type="spellStart"/>
      <w:r w:rsidRPr="00A64499">
        <w:t>en</w:t>
      </w:r>
      <w:proofErr w:type="spellEnd"/>
      <w:r w:rsidRPr="00A64499">
        <w:t xml:space="preserve"> banc).</w:t>
      </w:r>
    </w:p>
  </w:footnote>
  <w:footnote w:id="4">
    <w:p w14:paraId="7876269D" w14:textId="77777777" w:rsidR="004345A9" w:rsidRPr="00181354" w:rsidRDefault="004345A9" w:rsidP="004345A9">
      <w:pPr>
        <w:pStyle w:val="FootnoteText"/>
        <w:rPr>
          <w:rFonts w:eastAsia="Times New Roman" w:cs="Times New Roman"/>
        </w:rPr>
      </w:pPr>
      <w:r w:rsidRPr="00181354">
        <w:rPr>
          <w:rStyle w:val="FootnoteReference"/>
        </w:rPr>
        <w:footnoteRef/>
      </w:r>
      <w:r w:rsidRPr="00181354">
        <w:t xml:space="preserve"> These standards come from the civil </w:t>
      </w:r>
      <w:r w:rsidRPr="00181354">
        <w:rPr>
          <w:i/>
        </w:rPr>
        <w:t xml:space="preserve">in forma </w:t>
      </w:r>
      <w:proofErr w:type="spellStart"/>
      <w:r w:rsidRPr="00181354">
        <w:rPr>
          <w:i/>
        </w:rPr>
        <w:t>pauperis</w:t>
      </w:r>
      <w:proofErr w:type="spellEnd"/>
      <w:r w:rsidRPr="00181354">
        <w:t xml:space="preserve"> case law, which the Superior Court has repeatedly incorporated into the criminal case law as the “established processes for assessing </w:t>
      </w:r>
      <w:proofErr w:type="spellStart"/>
      <w:r w:rsidRPr="00181354">
        <w:t>indigency</w:t>
      </w:r>
      <w:proofErr w:type="spellEnd"/>
      <w:r w:rsidRPr="00181354">
        <w:t xml:space="preserve">,” </w:t>
      </w:r>
      <w:r w:rsidRPr="00181354">
        <w:rPr>
          <w:i/>
        </w:rPr>
        <w:t>Commonwealth v. Cannon</w:t>
      </w:r>
      <w:r w:rsidRPr="00181354">
        <w:t xml:space="preserve">, 954 A.2d 1222, 1226 (Pa. Super. Ct. 2008), because of the </w:t>
      </w:r>
      <w:r w:rsidRPr="00181354">
        <w:rPr>
          <w:rFonts w:eastAsia="Times New Roman"/>
        </w:rPr>
        <w:t xml:space="preserve">“dearth of case law” in criminal cases, compared with the “well-established principles governing </w:t>
      </w:r>
      <w:proofErr w:type="spellStart"/>
      <w:r w:rsidRPr="00181354">
        <w:rPr>
          <w:rFonts w:eastAsia="Times New Roman"/>
        </w:rPr>
        <w:t>indigency</w:t>
      </w:r>
      <w:proofErr w:type="spellEnd"/>
      <w:r w:rsidRPr="00181354">
        <w:rPr>
          <w:rFonts w:eastAsia="Times New Roman"/>
        </w:rPr>
        <w:t xml:space="preserve"> in civil cases.”</w:t>
      </w:r>
      <w:r w:rsidRPr="00181354">
        <w:t xml:space="preserve"> </w:t>
      </w:r>
      <w:r w:rsidRPr="00181354">
        <w:rPr>
          <w:rFonts w:eastAsia="Times New Roman"/>
          <w:i/>
        </w:rPr>
        <w:t xml:space="preserve">Commonwealth v. </w:t>
      </w:r>
      <w:proofErr w:type="spellStart"/>
      <w:r w:rsidRPr="00181354">
        <w:rPr>
          <w:rFonts w:eastAsia="Times New Roman"/>
          <w:i/>
        </w:rPr>
        <w:t>Lepre</w:t>
      </w:r>
      <w:proofErr w:type="spellEnd"/>
      <w:r w:rsidRPr="00181354">
        <w:rPr>
          <w:rFonts w:eastAsia="Times New Roman"/>
        </w:rPr>
        <w:t xml:space="preserve">, 18 A.3d 1225, 1226 (Pa. Super. Ct. 2011). </w:t>
      </w:r>
    </w:p>
    <w:p w14:paraId="67B450AA" w14:textId="77777777" w:rsidR="004345A9" w:rsidRPr="00181354" w:rsidRDefault="004345A9" w:rsidP="004345A9">
      <w:pPr>
        <w:pStyle w:val="FootnoteText"/>
        <w:rPr>
          <w:rFonts w:eastAsia="Times New Roman" w:cs="Times New Roman"/>
        </w:rPr>
      </w:pPr>
    </w:p>
    <w:p w14:paraId="0B877EE0" w14:textId="77777777" w:rsidR="004345A9" w:rsidRPr="00181354" w:rsidRDefault="004345A9" w:rsidP="004345A9">
      <w:pPr>
        <w:pStyle w:val="FootnoteText"/>
      </w:pPr>
      <w:r w:rsidRPr="00181354">
        <w:t xml:space="preserve">Pennsylvania courts use “poverty” and “indigent” interchangeably, and there is no legal distinction between the two terms. </w:t>
      </w:r>
      <w:r w:rsidRPr="00181354">
        <w:rPr>
          <w:i/>
        </w:rPr>
        <w:t>See</w:t>
      </w:r>
      <w:r w:rsidRPr="00181354">
        <w:t xml:space="preserve">, </w:t>
      </w:r>
      <w:r w:rsidRPr="00181354">
        <w:rPr>
          <w:i/>
        </w:rPr>
        <w:t>e.g.</w:t>
      </w:r>
      <w:r w:rsidRPr="00181354">
        <w:t xml:space="preserve">, </w:t>
      </w:r>
      <w:r w:rsidRPr="00181354">
        <w:rPr>
          <w:rStyle w:val="cohighlightpoints"/>
          <w:i/>
        </w:rPr>
        <w:t>Commonwealth v. Hernandez</w:t>
      </w:r>
      <w:r w:rsidRPr="00181354">
        <w:rPr>
          <w:rStyle w:val="cohighlightpoints"/>
        </w:rPr>
        <w:t>, 917 A.2d 332 (Pa. Super. Ct. 2007);</w:t>
      </w:r>
      <w:r w:rsidRPr="00181354">
        <w:t xml:space="preserve"> </w:t>
      </w:r>
      <w:r w:rsidRPr="00181354">
        <w:rPr>
          <w:rFonts w:eastAsia="Times New Roman" w:cs="Times New Roman"/>
          <w:i/>
        </w:rPr>
        <w:t>Crosby Square Apartments v. Henson</w:t>
      </w:r>
      <w:r w:rsidRPr="00181354">
        <w:rPr>
          <w:rFonts w:eastAsia="Times New Roman" w:cs="Times New Roman"/>
        </w:rPr>
        <w:t xml:space="preserve">, 666 A.2d 737 (Pa. Super. Ct. 1995); </w:t>
      </w:r>
      <w:r w:rsidRPr="00181354">
        <w:rPr>
          <w:i/>
        </w:rPr>
        <w:t>Commonwealth v. Regan</w:t>
      </w:r>
      <w:r w:rsidRPr="00181354">
        <w:t>, 359 A.2d 403 (Pa. Super. Ct. 1976). Accordingly, cases that set forth standards for determining whether an individual is in poverty are equally applicable to the inquiry under Rule 706 of whether a defendant is indigent.</w:t>
      </w:r>
    </w:p>
    <w:p w14:paraId="4516050E" w14:textId="64D27241" w:rsidR="004345A9" w:rsidRPr="00181354" w:rsidRDefault="004345A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AA1"/>
    <w:multiLevelType w:val="hybridMultilevel"/>
    <w:tmpl w:val="F68E6654"/>
    <w:lvl w:ilvl="0" w:tplc="207A3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43F9D"/>
    <w:multiLevelType w:val="hybridMultilevel"/>
    <w:tmpl w:val="088E9992"/>
    <w:lvl w:ilvl="0" w:tplc="FA0C5C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7AF5"/>
    <w:multiLevelType w:val="hybridMultilevel"/>
    <w:tmpl w:val="455E8044"/>
    <w:lvl w:ilvl="0" w:tplc="EDF43E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46932"/>
    <w:multiLevelType w:val="hybridMultilevel"/>
    <w:tmpl w:val="5F8CD158"/>
    <w:lvl w:ilvl="0" w:tplc="04090015">
      <w:start w:val="1"/>
      <w:numFmt w:val="upperLetter"/>
      <w:lvlText w:val="%1."/>
      <w:lvlJc w:val="left"/>
      <w:pPr>
        <w:ind w:left="180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B70036"/>
    <w:multiLevelType w:val="hybridMultilevel"/>
    <w:tmpl w:val="5DE6C3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E53FE"/>
    <w:multiLevelType w:val="hybridMultilevel"/>
    <w:tmpl w:val="4856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F4A81"/>
    <w:multiLevelType w:val="hybridMultilevel"/>
    <w:tmpl w:val="F8AC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14BD9"/>
    <w:multiLevelType w:val="hybridMultilevel"/>
    <w:tmpl w:val="DBAE3D16"/>
    <w:lvl w:ilvl="0" w:tplc="B178DC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34152F"/>
    <w:multiLevelType w:val="hybridMultilevel"/>
    <w:tmpl w:val="FB56B398"/>
    <w:lvl w:ilvl="0" w:tplc="32928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21A12"/>
    <w:multiLevelType w:val="hybridMultilevel"/>
    <w:tmpl w:val="B2608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53279"/>
    <w:multiLevelType w:val="hybridMultilevel"/>
    <w:tmpl w:val="97484488"/>
    <w:lvl w:ilvl="0" w:tplc="450AF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D3BDD"/>
    <w:multiLevelType w:val="hybridMultilevel"/>
    <w:tmpl w:val="AC9C4A82"/>
    <w:lvl w:ilvl="0" w:tplc="CE10C1C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F7705"/>
    <w:multiLevelType w:val="hybridMultilevel"/>
    <w:tmpl w:val="6B16ABF4"/>
    <w:lvl w:ilvl="0" w:tplc="548ABF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07013"/>
    <w:multiLevelType w:val="hybridMultilevel"/>
    <w:tmpl w:val="F74E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557EC"/>
    <w:multiLevelType w:val="hybridMultilevel"/>
    <w:tmpl w:val="B712E292"/>
    <w:lvl w:ilvl="0" w:tplc="4F2A4C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6" w15:restartNumberingAfterBreak="0">
    <w:nsid w:val="401C23A7"/>
    <w:multiLevelType w:val="hybridMultilevel"/>
    <w:tmpl w:val="D79E8838"/>
    <w:lvl w:ilvl="0" w:tplc="5BE61CF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A54AA5"/>
    <w:multiLevelType w:val="hybridMultilevel"/>
    <w:tmpl w:val="C436E486"/>
    <w:lvl w:ilvl="0" w:tplc="0409000F">
      <w:start w:val="1"/>
      <w:numFmt w:val="decimal"/>
      <w:lvlText w:val="%1."/>
      <w:lvlJc w:val="left"/>
      <w:pPr>
        <w:ind w:left="720" w:hanging="360"/>
      </w:pPr>
      <w:rPr>
        <w:rFonts w:hint="default"/>
        <w:b w:val="0"/>
      </w:rPr>
    </w:lvl>
    <w:lvl w:ilvl="1" w:tplc="A0EAABF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238EB"/>
    <w:multiLevelType w:val="hybridMultilevel"/>
    <w:tmpl w:val="A73EA5E0"/>
    <w:lvl w:ilvl="0" w:tplc="3CCA5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F402D9"/>
    <w:multiLevelType w:val="hybridMultilevel"/>
    <w:tmpl w:val="4EFC93A6"/>
    <w:lvl w:ilvl="0" w:tplc="CE10C1C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C50C0"/>
    <w:multiLevelType w:val="hybridMultilevel"/>
    <w:tmpl w:val="4E20AD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FD07C4"/>
    <w:multiLevelType w:val="hybridMultilevel"/>
    <w:tmpl w:val="138AF9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8C52BD"/>
    <w:multiLevelType w:val="hybridMultilevel"/>
    <w:tmpl w:val="CF22E7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C13308"/>
    <w:multiLevelType w:val="hybridMultilevel"/>
    <w:tmpl w:val="560C6748"/>
    <w:lvl w:ilvl="0" w:tplc="66C641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8018A3"/>
    <w:multiLevelType w:val="hybridMultilevel"/>
    <w:tmpl w:val="9DA6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56E59"/>
    <w:multiLevelType w:val="hybridMultilevel"/>
    <w:tmpl w:val="3530BCD4"/>
    <w:lvl w:ilvl="0" w:tplc="D5D00D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D6C12"/>
    <w:multiLevelType w:val="hybridMultilevel"/>
    <w:tmpl w:val="D3C23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D3A71"/>
    <w:multiLevelType w:val="hybridMultilevel"/>
    <w:tmpl w:val="A0E287B8"/>
    <w:lvl w:ilvl="0" w:tplc="42F2A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1454BE"/>
    <w:multiLevelType w:val="hybridMultilevel"/>
    <w:tmpl w:val="4B24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61431"/>
    <w:multiLevelType w:val="hybridMultilevel"/>
    <w:tmpl w:val="D0387EAA"/>
    <w:lvl w:ilvl="0" w:tplc="748E06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E78B9"/>
    <w:multiLevelType w:val="hybridMultilevel"/>
    <w:tmpl w:val="3AFC1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314577"/>
    <w:multiLevelType w:val="hybridMultilevel"/>
    <w:tmpl w:val="2168FB4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3703A2"/>
    <w:multiLevelType w:val="hybridMultilevel"/>
    <w:tmpl w:val="1DDE3BD6"/>
    <w:lvl w:ilvl="0" w:tplc="748E06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F15B43"/>
    <w:multiLevelType w:val="hybridMultilevel"/>
    <w:tmpl w:val="3E9694C0"/>
    <w:lvl w:ilvl="0" w:tplc="F8A44C4C">
      <w:start w:val="1"/>
      <w:numFmt w:val="decimal"/>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95ABC"/>
    <w:multiLevelType w:val="hybridMultilevel"/>
    <w:tmpl w:val="CF662932"/>
    <w:lvl w:ilvl="0" w:tplc="C80AAF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EA7A46"/>
    <w:multiLevelType w:val="hybridMultilevel"/>
    <w:tmpl w:val="638A25B2"/>
    <w:lvl w:ilvl="0" w:tplc="849855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D10307"/>
    <w:multiLevelType w:val="hybridMultilevel"/>
    <w:tmpl w:val="4F201046"/>
    <w:lvl w:ilvl="0" w:tplc="A8B4AF6E">
      <w:start w:val="1"/>
      <w:numFmt w:val="decimal"/>
      <w:lvlText w:val="%1."/>
      <w:lvlJc w:val="left"/>
      <w:pPr>
        <w:ind w:left="1800" w:hanging="72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C473D0"/>
    <w:multiLevelType w:val="multilevel"/>
    <w:tmpl w:val="A4BA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E2BB6"/>
    <w:multiLevelType w:val="hybridMultilevel"/>
    <w:tmpl w:val="5F50E104"/>
    <w:lvl w:ilvl="0" w:tplc="04090013">
      <w:start w:val="1"/>
      <w:numFmt w:val="upperRoman"/>
      <w:lvlText w:val="%1."/>
      <w:lvlJc w:val="right"/>
      <w:pPr>
        <w:ind w:left="180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0"/>
  </w:num>
  <w:num w:numId="3">
    <w:abstractNumId w:val="12"/>
  </w:num>
  <w:num w:numId="4">
    <w:abstractNumId w:val="8"/>
  </w:num>
  <w:num w:numId="5">
    <w:abstractNumId w:val="15"/>
  </w:num>
  <w:num w:numId="6">
    <w:abstractNumId w:val="5"/>
  </w:num>
  <w:num w:numId="7">
    <w:abstractNumId w:val="24"/>
  </w:num>
  <w:num w:numId="8">
    <w:abstractNumId w:val="3"/>
  </w:num>
  <w:num w:numId="9">
    <w:abstractNumId w:val="13"/>
  </w:num>
  <w:num w:numId="10">
    <w:abstractNumId w:val="39"/>
  </w:num>
  <w:num w:numId="11">
    <w:abstractNumId w:val="7"/>
  </w:num>
  <w:num w:numId="12">
    <w:abstractNumId w:val="28"/>
  </w:num>
  <w:num w:numId="13">
    <w:abstractNumId w:val="19"/>
  </w:num>
  <w:num w:numId="14">
    <w:abstractNumId w:val="18"/>
  </w:num>
  <w:num w:numId="15">
    <w:abstractNumId w:val="35"/>
  </w:num>
  <w:num w:numId="16">
    <w:abstractNumId w:val="23"/>
  </w:num>
  <w:num w:numId="17">
    <w:abstractNumId w:val="25"/>
  </w:num>
  <w:num w:numId="18">
    <w:abstractNumId w:val="6"/>
  </w:num>
  <w:num w:numId="19">
    <w:abstractNumId w:val="2"/>
  </w:num>
  <w:num w:numId="20">
    <w:abstractNumId w:val="31"/>
  </w:num>
  <w:num w:numId="21">
    <w:abstractNumId w:val="4"/>
  </w:num>
  <w:num w:numId="22">
    <w:abstractNumId w:val="17"/>
  </w:num>
  <w:num w:numId="23">
    <w:abstractNumId w:val="27"/>
  </w:num>
  <w:num w:numId="24">
    <w:abstractNumId w:val="29"/>
  </w:num>
  <w:num w:numId="25">
    <w:abstractNumId w:val="16"/>
  </w:num>
  <w:num w:numId="26">
    <w:abstractNumId w:val="14"/>
  </w:num>
  <w:num w:numId="27">
    <w:abstractNumId w:val="38"/>
  </w:num>
  <w:num w:numId="28">
    <w:abstractNumId w:val="26"/>
  </w:num>
  <w:num w:numId="29">
    <w:abstractNumId w:val="10"/>
  </w:num>
  <w:num w:numId="30">
    <w:abstractNumId w:val="22"/>
  </w:num>
  <w:num w:numId="31">
    <w:abstractNumId w:val="32"/>
  </w:num>
  <w:num w:numId="32">
    <w:abstractNumId w:val="37"/>
  </w:num>
  <w:num w:numId="33">
    <w:abstractNumId w:val="20"/>
  </w:num>
  <w:num w:numId="34">
    <w:abstractNumId w:val="21"/>
  </w:num>
  <w:num w:numId="35">
    <w:abstractNumId w:val="33"/>
  </w:num>
  <w:num w:numId="36">
    <w:abstractNumId w:val="11"/>
  </w:num>
  <w:num w:numId="37">
    <w:abstractNumId w:val="36"/>
  </w:num>
  <w:num w:numId="38">
    <w:abstractNumId w:val="30"/>
  </w:num>
  <w:num w:numId="39">
    <w:abstractNumId w:val="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5"/>
    <w:rsid w:val="00000BA6"/>
    <w:rsid w:val="00001AC4"/>
    <w:rsid w:val="00002094"/>
    <w:rsid w:val="00006875"/>
    <w:rsid w:val="00014011"/>
    <w:rsid w:val="0002035E"/>
    <w:rsid w:val="00021AC4"/>
    <w:rsid w:val="00024994"/>
    <w:rsid w:val="000278DA"/>
    <w:rsid w:val="0003223D"/>
    <w:rsid w:val="000479DA"/>
    <w:rsid w:val="00050A00"/>
    <w:rsid w:val="00056F32"/>
    <w:rsid w:val="00061F5F"/>
    <w:rsid w:val="00070CD7"/>
    <w:rsid w:val="00084462"/>
    <w:rsid w:val="00091533"/>
    <w:rsid w:val="0009177F"/>
    <w:rsid w:val="00093707"/>
    <w:rsid w:val="00094E86"/>
    <w:rsid w:val="00096B1E"/>
    <w:rsid w:val="000A26C7"/>
    <w:rsid w:val="000A2E5B"/>
    <w:rsid w:val="000A5491"/>
    <w:rsid w:val="000B03D4"/>
    <w:rsid w:val="000C4743"/>
    <w:rsid w:val="000C6555"/>
    <w:rsid w:val="000C6E3E"/>
    <w:rsid w:val="000D4747"/>
    <w:rsid w:val="000D546A"/>
    <w:rsid w:val="000D64FB"/>
    <w:rsid w:val="000D684A"/>
    <w:rsid w:val="000E58C8"/>
    <w:rsid w:val="000E6DEA"/>
    <w:rsid w:val="000E7E16"/>
    <w:rsid w:val="000F2264"/>
    <w:rsid w:val="000F29D1"/>
    <w:rsid w:val="000F4477"/>
    <w:rsid w:val="000F4FEF"/>
    <w:rsid w:val="000F5474"/>
    <w:rsid w:val="000F603E"/>
    <w:rsid w:val="00101751"/>
    <w:rsid w:val="00103E6C"/>
    <w:rsid w:val="001072F2"/>
    <w:rsid w:val="00107F3C"/>
    <w:rsid w:val="0011243C"/>
    <w:rsid w:val="001136D0"/>
    <w:rsid w:val="00124E0D"/>
    <w:rsid w:val="00125790"/>
    <w:rsid w:val="00127270"/>
    <w:rsid w:val="001277F6"/>
    <w:rsid w:val="001300D7"/>
    <w:rsid w:val="00130DAD"/>
    <w:rsid w:val="00135C16"/>
    <w:rsid w:val="00140845"/>
    <w:rsid w:val="00140F79"/>
    <w:rsid w:val="00143F48"/>
    <w:rsid w:val="00144746"/>
    <w:rsid w:val="00145A87"/>
    <w:rsid w:val="00145C41"/>
    <w:rsid w:val="0015737F"/>
    <w:rsid w:val="00181354"/>
    <w:rsid w:val="00184D50"/>
    <w:rsid w:val="00186631"/>
    <w:rsid w:val="00186ADC"/>
    <w:rsid w:val="00187126"/>
    <w:rsid w:val="00192768"/>
    <w:rsid w:val="0019302C"/>
    <w:rsid w:val="001A0C90"/>
    <w:rsid w:val="001A58D2"/>
    <w:rsid w:val="001A657C"/>
    <w:rsid w:val="001B1BFC"/>
    <w:rsid w:val="001B7575"/>
    <w:rsid w:val="001B761E"/>
    <w:rsid w:val="001B7A61"/>
    <w:rsid w:val="001B7C7C"/>
    <w:rsid w:val="001C65C2"/>
    <w:rsid w:val="001D17D1"/>
    <w:rsid w:val="001D2CC0"/>
    <w:rsid w:val="001D3F51"/>
    <w:rsid w:val="001D479B"/>
    <w:rsid w:val="001D59AC"/>
    <w:rsid w:val="001D684D"/>
    <w:rsid w:val="001E3343"/>
    <w:rsid w:val="001E75FC"/>
    <w:rsid w:val="001E76EE"/>
    <w:rsid w:val="001F2FAC"/>
    <w:rsid w:val="001F5A8F"/>
    <w:rsid w:val="001F7812"/>
    <w:rsid w:val="00203201"/>
    <w:rsid w:val="002034A4"/>
    <w:rsid w:val="002048E9"/>
    <w:rsid w:val="0020522B"/>
    <w:rsid w:val="002056DA"/>
    <w:rsid w:val="00206338"/>
    <w:rsid w:val="002155DD"/>
    <w:rsid w:val="002223D8"/>
    <w:rsid w:val="0022626B"/>
    <w:rsid w:val="00233880"/>
    <w:rsid w:val="00237AF0"/>
    <w:rsid w:val="00241ED1"/>
    <w:rsid w:val="00243D64"/>
    <w:rsid w:val="0024603A"/>
    <w:rsid w:val="00247094"/>
    <w:rsid w:val="00250ECF"/>
    <w:rsid w:val="00255CF9"/>
    <w:rsid w:val="00256648"/>
    <w:rsid w:val="00256911"/>
    <w:rsid w:val="00257A74"/>
    <w:rsid w:val="00263BF3"/>
    <w:rsid w:val="002656FB"/>
    <w:rsid w:val="0027759B"/>
    <w:rsid w:val="00277D58"/>
    <w:rsid w:val="002839B9"/>
    <w:rsid w:val="00287261"/>
    <w:rsid w:val="00294989"/>
    <w:rsid w:val="002A0877"/>
    <w:rsid w:val="002A0C49"/>
    <w:rsid w:val="002A2563"/>
    <w:rsid w:val="002A35F6"/>
    <w:rsid w:val="002A40AA"/>
    <w:rsid w:val="002A706C"/>
    <w:rsid w:val="002B442C"/>
    <w:rsid w:val="002B63E0"/>
    <w:rsid w:val="002C106E"/>
    <w:rsid w:val="002C6A9E"/>
    <w:rsid w:val="002C6F94"/>
    <w:rsid w:val="002D0767"/>
    <w:rsid w:val="002D1B70"/>
    <w:rsid w:val="002D4BA2"/>
    <w:rsid w:val="002D52B7"/>
    <w:rsid w:val="002D5AFD"/>
    <w:rsid w:val="002D74CA"/>
    <w:rsid w:val="002D77AF"/>
    <w:rsid w:val="002E1952"/>
    <w:rsid w:val="002E1E37"/>
    <w:rsid w:val="002E3793"/>
    <w:rsid w:val="002E4291"/>
    <w:rsid w:val="002E496F"/>
    <w:rsid w:val="002E6BD1"/>
    <w:rsid w:val="002F0715"/>
    <w:rsid w:val="002F2438"/>
    <w:rsid w:val="002F3699"/>
    <w:rsid w:val="002F37F9"/>
    <w:rsid w:val="0030369F"/>
    <w:rsid w:val="00304357"/>
    <w:rsid w:val="003044EF"/>
    <w:rsid w:val="003064A2"/>
    <w:rsid w:val="003116ED"/>
    <w:rsid w:val="00312F29"/>
    <w:rsid w:val="003153E0"/>
    <w:rsid w:val="003156A2"/>
    <w:rsid w:val="00317B6A"/>
    <w:rsid w:val="00321975"/>
    <w:rsid w:val="00324A5F"/>
    <w:rsid w:val="00326E1C"/>
    <w:rsid w:val="00331C56"/>
    <w:rsid w:val="003352AA"/>
    <w:rsid w:val="003409B0"/>
    <w:rsid w:val="00347410"/>
    <w:rsid w:val="003559EB"/>
    <w:rsid w:val="00360D19"/>
    <w:rsid w:val="0036566B"/>
    <w:rsid w:val="00367F1B"/>
    <w:rsid w:val="00375439"/>
    <w:rsid w:val="00395E89"/>
    <w:rsid w:val="00396528"/>
    <w:rsid w:val="00396A95"/>
    <w:rsid w:val="003A1178"/>
    <w:rsid w:val="003A16D0"/>
    <w:rsid w:val="003A34CD"/>
    <w:rsid w:val="003A3CF6"/>
    <w:rsid w:val="003B0909"/>
    <w:rsid w:val="003B4B3F"/>
    <w:rsid w:val="003B7643"/>
    <w:rsid w:val="003B7A5A"/>
    <w:rsid w:val="003C4B0A"/>
    <w:rsid w:val="003D29FA"/>
    <w:rsid w:val="003D43EA"/>
    <w:rsid w:val="003D5ED5"/>
    <w:rsid w:val="003D7ECB"/>
    <w:rsid w:val="003E0A59"/>
    <w:rsid w:val="003E35C1"/>
    <w:rsid w:val="003E4463"/>
    <w:rsid w:val="003E4650"/>
    <w:rsid w:val="003F034C"/>
    <w:rsid w:val="003F1B67"/>
    <w:rsid w:val="003F1F06"/>
    <w:rsid w:val="003F21EA"/>
    <w:rsid w:val="003F6E35"/>
    <w:rsid w:val="003F78A1"/>
    <w:rsid w:val="004018CC"/>
    <w:rsid w:val="00403DA5"/>
    <w:rsid w:val="00405013"/>
    <w:rsid w:val="0041066A"/>
    <w:rsid w:val="00410FC2"/>
    <w:rsid w:val="00411146"/>
    <w:rsid w:val="00416151"/>
    <w:rsid w:val="004164DE"/>
    <w:rsid w:val="00417B76"/>
    <w:rsid w:val="004271A2"/>
    <w:rsid w:val="004300AE"/>
    <w:rsid w:val="00434079"/>
    <w:rsid w:val="004345A9"/>
    <w:rsid w:val="00443058"/>
    <w:rsid w:val="00443DC7"/>
    <w:rsid w:val="00445F38"/>
    <w:rsid w:val="00450D06"/>
    <w:rsid w:val="004528D2"/>
    <w:rsid w:val="0045336A"/>
    <w:rsid w:val="004539BB"/>
    <w:rsid w:val="00454A5D"/>
    <w:rsid w:val="00457460"/>
    <w:rsid w:val="00463086"/>
    <w:rsid w:val="00463E7E"/>
    <w:rsid w:val="004678A4"/>
    <w:rsid w:val="00477C47"/>
    <w:rsid w:val="00477FAA"/>
    <w:rsid w:val="00481690"/>
    <w:rsid w:val="00484574"/>
    <w:rsid w:val="004914CF"/>
    <w:rsid w:val="00491E93"/>
    <w:rsid w:val="004926D3"/>
    <w:rsid w:val="0049347B"/>
    <w:rsid w:val="00494092"/>
    <w:rsid w:val="00494789"/>
    <w:rsid w:val="004A417C"/>
    <w:rsid w:val="004B1453"/>
    <w:rsid w:val="004B1694"/>
    <w:rsid w:val="004B1D36"/>
    <w:rsid w:val="004B60BB"/>
    <w:rsid w:val="004C2483"/>
    <w:rsid w:val="004C3B0E"/>
    <w:rsid w:val="004D6A62"/>
    <w:rsid w:val="004D6BE6"/>
    <w:rsid w:val="004E184D"/>
    <w:rsid w:val="004E2A4E"/>
    <w:rsid w:val="004E63E6"/>
    <w:rsid w:val="004E685E"/>
    <w:rsid w:val="004E6DE6"/>
    <w:rsid w:val="004F5CC3"/>
    <w:rsid w:val="00503D4A"/>
    <w:rsid w:val="005061C6"/>
    <w:rsid w:val="00514342"/>
    <w:rsid w:val="005155E9"/>
    <w:rsid w:val="00520951"/>
    <w:rsid w:val="00522CB0"/>
    <w:rsid w:val="005249D1"/>
    <w:rsid w:val="00525573"/>
    <w:rsid w:val="005278A7"/>
    <w:rsid w:val="005347C2"/>
    <w:rsid w:val="005375FA"/>
    <w:rsid w:val="005419B6"/>
    <w:rsid w:val="00543FB8"/>
    <w:rsid w:val="00545755"/>
    <w:rsid w:val="00546C72"/>
    <w:rsid w:val="00557242"/>
    <w:rsid w:val="00557C28"/>
    <w:rsid w:val="00563FFA"/>
    <w:rsid w:val="00567858"/>
    <w:rsid w:val="00571130"/>
    <w:rsid w:val="005731A5"/>
    <w:rsid w:val="005752C5"/>
    <w:rsid w:val="00576108"/>
    <w:rsid w:val="00581E6D"/>
    <w:rsid w:val="0058663B"/>
    <w:rsid w:val="005924D5"/>
    <w:rsid w:val="00592543"/>
    <w:rsid w:val="005933A8"/>
    <w:rsid w:val="00593B68"/>
    <w:rsid w:val="00596B15"/>
    <w:rsid w:val="005B4796"/>
    <w:rsid w:val="005C5D58"/>
    <w:rsid w:val="005C7B45"/>
    <w:rsid w:val="005C7DD8"/>
    <w:rsid w:val="005D053D"/>
    <w:rsid w:val="005D60AC"/>
    <w:rsid w:val="005D682C"/>
    <w:rsid w:val="005E0D0E"/>
    <w:rsid w:val="00601804"/>
    <w:rsid w:val="00610056"/>
    <w:rsid w:val="00614910"/>
    <w:rsid w:val="0062148B"/>
    <w:rsid w:val="00624331"/>
    <w:rsid w:val="006276CA"/>
    <w:rsid w:val="0063005C"/>
    <w:rsid w:val="00630455"/>
    <w:rsid w:val="006376B5"/>
    <w:rsid w:val="0064389E"/>
    <w:rsid w:val="006447D3"/>
    <w:rsid w:val="006462B9"/>
    <w:rsid w:val="00656A64"/>
    <w:rsid w:val="006575A3"/>
    <w:rsid w:val="00660FA9"/>
    <w:rsid w:val="006653EF"/>
    <w:rsid w:val="00667282"/>
    <w:rsid w:val="0067054B"/>
    <w:rsid w:val="006754D9"/>
    <w:rsid w:val="00677F3D"/>
    <w:rsid w:val="006837E2"/>
    <w:rsid w:val="0068672E"/>
    <w:rsid w:val="00694AFE"/>
    <w:rsid w:val="00694CDB"/>
    <w:rsid w:val="006A61B9"/>
    <w:rsid w:val="006A6BC9"/>
    <w:rsid w:val="006B2DAC"/>
    <w:rsid w:val="006B7239"/>
    <w:rsid w:val="006B79CF"/>
    <w:rsid w:val="006C3C15"/>
    <w:rsid w:val="006C5BBA"/>
    <w:rsid w:val="006C696B"/>
    <w:rsid w:val="006C6A4C"/>
    <w:rsid w:val="006C7A46"/>
    <w:rsid w:val="006D013A"/>
    <w:rsid w:val="006D70D9"/>
    <w:rsid w:val="006E0D4D"/>
    <w:rsid w:val="006E2FBD"/>
    <w:rsid w:val="006E417C"/>
    <w:rsid w:val="006E549F"/>
    <w:rsid w:val="006E6085"/>
    <w:rsid w:val="006F023E"/>
    <w:rsid w:val="006F069A"/>
    <w:rsid w:val="006F06A5"/>
    <w:rsid w:val="006F47B4"/>
    <w:rsid w:val="006F745A"/>
    <w:rsid w:val="0070065E"/>
    <w:rsid w:val="007058DB"/>
    <w:rsid w:val="00705B96"/>
    <w:rsid w:val="00715950"/>
    <w:rsid w:val="0072199D"/>
    <w:rsid w:val="007253DB"/>
    <w:rsid w:val="00731A27"/>
    <w:rsid w:val="00734BB0"/>
    <w:rsid w:val="0073767C"/>
    <w:rsid w:val="0074056D"/>
    <w:rsid w:val="00742CD0"/>
    <w:rsid w:val="00743725"/>
    <w:rsid w:val="007457EE"/>
    <w:rsid w:val="007463AF"/>
    <w:rsid w:val="007508FA"/>
    <w:rsid w:val="00755FB9"/>
    <w:rsid w:val="007618DF"/>
    <w:rsid w:val="00761AA0"/>
    <w:rsid w:val="00761B25"/>
    <w:rsid w:val="00762EAE"/>
    <w:rsid w:val="00765B04"/>
    <w:rsid w:val="007679D2"/>
    <w:rsid w:val="0077561E"/>
    <w:rsid w:val="00776EA4"/>
    <w:rsid w:val="00782680"/>
    <w:rsid w:val="00785409"/>
    <w:rsid w:val="00787DC4"/>
    <w:rsid w:val="00793EA1"/>
    <w:rsid w:val="007A1640"/>
    <w:rsid w:val="007A2577"/>
    <w:rsid w:val="007A29E7"/>
    <w:rsid w:val="007A756B"/>
    <w:rsid w:val="007B7D50"/>
    <w:rsid w:val="007C4EC9"/>
    <w:rsid w:val="007C5C35"/>
    <w:rsid w:val="007D2CBD"/>
    <w:rsid w:val="007D5CBC"/>
    <w:rsid w:val="007D73D0"/>
    <w:rsid w:val="007E1F52"/>
    <w:rsid w:val="007E53C0"/>
    <w:rsid w:val="007F2A9B"/>
    <w:rsid w:val="007F4D16"/>
    <w:rsid w:val="007F6D24"/>
    <w:rsid w:val="007F799F"/>
    <w:rsid w:val="00800F9F"/>
    <w:rsid w:val="00804266"/>
    <w:rsid w:val="00806EBD"/>
    <w:rsid w:val="00807101"/>
    <w:rsid w:val="00807D29"/>
    <w:rsid w:val="008136D1"/>
    <w:rsid w:val="008166A8"/>
    <w:rsid w:val="00820686"/>
    <w:rsid w:val="008207C2"/>
    <w:rsid w:val="00823B51"/>
    <w:rsid w:val="0082604C"/>
    <w:rsid w:val="00826C6B"/>
    <w:rsid w:val="008335F8"/>
    <w:rsid w:val="00844EB6"/>
    <w:rsid w:val="00850105"/>
    <w:rsid w:val="008509F8"/>
    <w:rsid w:val="00853BEB"/>
    <w:rsid w:val="00861A96"/>
    <w:rsid w:val="008636F4"/>
    <w:rsid w:val="00865966"/>
    <w:rsid w:val="00867EC7"/>
    <w:rsid w:val="00873432"/>
    <w:rsid w:val="00873F59"/>
    <w:rsid w:val="00876011"/>
    <w:rsid w:val="00882D58"/>
    <w:rsid w:val="008848F0"/>
    <w:rsid w:val="008855DD"/>
    <w:rsid w:val="00887B12"/>
    <w:rsid w:val="00891BA9"/>
    <w:rsid w:val="008966AF"/>
    <w:rsid w:val="00896E92"/>
    <w:rsid w:val="00897292"/>
    <w:rsid w:val="008A0B40"/>
    <w:rsid w:val="008A6301"/>
    <w:rsid w:val="008B01B2"/>
    <w:rsid w:val="008B5085"/>
    <w:rsid w:val="008C0198"/>
    <w:rsid w:val="008C330E"/>
    <w:rsid w:val="008C4D7E"/>
    <w:rsid w:val="008D1535"/>
    <w:rsid w:val="008D7A22"/>
    <w:rsid w:val="008E2EBB"/>
    <w:rsid w:val="008E3FE7"/>
    <w:rsid w:val="008E6CC0"/>
    <w:rsid w:val="008F32CE"/>
    <w:rsid w:val="008F3DBC"/>
    <w:rsid w:val="008F41EB"/>
    <w:rsid w:val="008F52B8"/>
    <w:rsid w:val="008F578B"/>
    <w:rsid w:val="00900A78"/>
    <w:rsid w:val="00901CA8"/>
    <w:rsid w:val="00903665"/>
    <w:rsid w:val="00905B86"/>
    <w:rsid w:val="00914731"/>
    <w:rsid w:val="009153D9"/>
    <w:rsid w:val="0092189E"/>
    <w:rsid w:val="00922CB7"/>
    <w:rsid w:val="00926AEA"/>
    <w:rsid w:val="009303F2"/>
    <w:rsid w:val="009312B3"/>
    <w:rsid w:val="0093734D"/>
    <w:rsid w:val="00945262"/>
    <w:rsid w:val="00946516"/>
    <w:rsid w:val="00946BF9"/>
    <w:rsid w:val="00946FC4"/>
    <w:rsid w:val="00950307"/>
    <w:rsid w:val="00950A22"/>
    <w:rsid w:val="00950F69"/>
    <w:rsid w:val="0096432E"/>
    <w:rsid w:val="00964CD5"/>
    <w:rsid w:val="00965319"/>
    <w:rsid w:val="009666B7"/>
    <w:rsid w:val="009751D5"/>
    <w:rsid w:val="009766CA"/>
    <w:rsid w:val="00980135"/>
    <w:rsid w:val="009831C6"/>
    <w:rsid w:val="009839B3"/>
    <w:rsid w:val="00984309"/>
    <w:rsid w:val="00985EBD"/>
    <w:rsid w:val="009864F3"/>
    <w:rsid w:val="00993046"/>
    <w:rsid w:val="009975B9"/>
    <w:rsid w:val="009A4FC8"/>
    <w:rsid w:val="009C7F30"/>
    <w:rsid w:val="009E3F5C"/>
    <w:rsid w:val="009E44B4"/>
    <w:rsid w:val="009F1FB4"/>
    <w:rsid w:val="009F3C3F"/>
    <w:rsid w:val="00A005B8"/>
    <w:rsid w:val="00A00B3C"/>
    <w:rsid w:val="00A024FF"/>
    <w:rsid w:val="00A03B6C"/>
    <w:rsid w:val="00A04272"/>
    <w:rsid w:val="00A056EB"/>
    <w:rsid w:val="00A12767"/>
    <w:rsid w:val="00A1533B"/>
    <w:rsid w:val="00A15AF2"/>
    <w:rsid w:val="00A20AC3"/>
    <w:rsid w:val="00A248C0"/>
    <w:rsid w:val="00A30886"/>
    <w:rsid w:val="00A32F6E"/>
    <w:rsid w:val="00A34905"/>
    <w:rsid w:val="00A35575"/>
    <w:rsid w:val="00A35A1E"/>
    <w:rsid w:val="00A35AEC"/>
    <w:rsid w:val="00A40280"/>
    <w:rsid w:val="00A4084A"/>
    <w:rsid w:val="00A4217B"/>
    <w:rsid w:val="00A423B7"/>
    <w:rsid w:val="00A4398B"/>
    <w:rsid w:val="00A47DA7"/>
    <w:rsid w:val="00A50154"/>
    <w:rsid w:val="00A554B3"/>
    <w:rsid w:val="00A600F5"/>
    <w:rsid w:val="00A616F3"/>
    <w:rsid w:val="00A61B5D"/>
    <w:rsid w:val="00A71B8A"/>
    <w:rsid w:val="00A746B5"/>
    <w:rsid w:val="00A74A2E"/>
    <w:rsid w:val="00A75E7F"/>
    <w:rsid w:val="00A828FB"/>
    <w:rsid w:val="00A86EDE"/>
    <w:rsid w:val="00A91E14"/>
    <w:rsid w:val="00A91E58"/>
    <w:rsid w:val="00A94ECA"/>
    <w:rsid w:val="00A954D4"/>
    <w:rsid w:val="00AB1871"/>
    <w:rsid w:val="00AC15E9"/>
    <w:rsid w:val="00AC22AB"/>
    <w:rsid w:val="00AC3BB3"/>
    <w:rsid w:val="00AC440F"/>
    <w:rsid w:val="00AC4BB3"/>
    <w:rsid w:val="00AD1D61"/>
    <w:rsid w:val="00AD697F"/>
    <w:rsid w:val="00AD6AE0"/>
    <w:rsid w:val="00AD6CB1"/>
    <w:rsid w:val="00AE059B"/>
    <w:rsid w:val="00AE5F2C"/>
    <w:rsid w:val="00AF07AE"/>
    <w:rsid w:val="00AF6386"/>
    <w:rsid w:val="00B01FDE"/>
    <w:rsid w:val="00B03B39"/>
    <w:rsid w:val="00B064CA"/>
    <w:rsid w:val="00B073CB"/>
    <w:rsid w:val="00B13F5E"/>
    <w:rsid w:val="00B14A16"/>
    <w:rsid w:val="00B1506C"/>
    <w:rsid w:val="00B17F18"/>
    <w:rsid w:val="00B21506"/>
    <w:rsid w:val="00B223E6"/>
    <w:rsid w:val="00B24C5E"/>
    <w:rsid w:val="00B31855"/>
    <w:rsid w:val="00B34744"/>
    <w:rsid w:val="00B3539C"/>
    <w:rsid w:val="00B37330"/>
    <w:rsid w:val="00B403CD"/>
    <w:rsid w:val="00B41748"/>
    <w:rsid w:val="00B43430"/>
    <w:rsid w:val="00B46A3C"/>
    <w:rsid w:val="00B47687"/>
    <w:rsid w:val="00B50A2C"/>
    <w:rsid w:val="00B521B1"/>
    <w:rsid w:val="00B52DE5"/>
    <w:rsid w:val="00B540FD"/>
    <w:rsid w:val="00B61CF1"/>
    <w:rsid w:val="00B622F3"/>
    <w:rsid w:val="00B63B63"/>
    <w:rsid w:val="00B700C6"/>
    <w:rsid w:val="00B71A0B"/>
    <w:rsid w:val="00B72028"/>
    <w:rsid w:val="00B7460A"/>
    <w:rsid w:val="00B81912"/>
    <w:rsid w:val="00B82B28"/>
    <w:rsid w:val="00B83243"/>
    <w:rsid w:val="00B8731F"/>
    <w:rsid w:val="00B87346"/>
    <w:rsid w:val="00B92CF1"/>
    <w:rsid w:val="00B93088"/>
    <w:rsid w:val="00B933F0"/>
    <w:rsid w:val="00B93F26"/>
    <w:rsid w:val="00B97101"/>
    <w:rsid w:val="00BA2D92"/>
    <w:rsid w:val="00BA6C4D"/>
    <w:rsid w:val="00BA71FD"/>
    <w:rsid w:val="00BA7231"/>
    <w:rsid w:val="00BB401B"/>
    <w:rsid w:val="00BC101F"/>
    <w:rsid w:val="00BC24C7"/>
    <w:rsid w:val="00BC2768"/>
    <w:rsid w:val="00BC2DEA"/>
    <w:rsid w:val="00BC4977"/>
    <w:rsid w:val="00BC721E"/>
    <w:rsid w:val="00BD17AE"/>
    <w:rsid w:val="00BD4660"/>
    <w:rsid w:val="00BD4AE6"/>
    <w:rsid w:val="00BD5ED9"/>
    <w:rsid w:val="00BD6810"/>
    <w:rsid w:val="00BE2901"/>
    <w:rsid w:val="00BE3E55"/>
    <w:rsid w:val="00BF3FEB"/>
    <w:rsid w:val="00BF480B"/>
    <w:rsid w:val="00BF55B6"/>
    <w:rsid w:val="00C0141A"/>
    <w:rsid w:val="00C02406"/>
    <w:rsid w:val="00C06B01"/>
    <w:rsid w:val="00C102C3"/>
    <w:rsid w:val="00C11AC9"/>
    <w:rsid w:val="00C14129"/>
    <w:rsid w:val="00C20307"/>
    <w:rsid w:val="00C205F1"/>
    <w:rsid w:val="00C21ED7"/>
    <w:rsid w:val="00C31B03"/>
    <w:rsid w:val="00C336D8"/>
    <w:rsid w:val="00C37A56"/>
    <w:rsid w:val="00C43489"/>
    <w:rsid w:val="00C45CF1"/>
    <w:rsid w:val="00C46136"/>
    <w:rsid w:val="00C50333"/>
    <w:rsid w:val="00C504D6"/>
    <w:rsid w:val="00C507BB"/>
    <w:rsid w:val="00C526F9"/>
    <w:rsid w:val="00C53733"/>
    <w:rsid w:val="00C54C43"/>
    <w:rsid w:val="00C56ACD"/>
    <w:rsid w:val="00C621F0"/>
    <w:rsid w:val="00C65DA7"/>
    <w:rsid w:val="00C71751"/>
    <w:rsid w:val="00C74489"/>
    <w:rsid w:val="00C80A79"/>
    <w:rsid w:val="00C86116"/>
    <w:rsid w:val="00C869F9"/>
    <w:rsid w:val="00C87724"/>
    <w:rsid w:val="00C966DE"/>
    <w:rsid w:val="00CA7493"/>
    <w:rsid w:val="00CB068B"/>
    <w:rsid w:val="00CB06A5"/>
    <w:rsid w:val="00CB0FF9"/>
    <w:rsid w:val="00CB1AC8"/>
    <w:rsid w:val="00CB497D"/>
    <w:rsid w:val="00CB590B"/>
    <w:rsid w:val="00CC2635"/>
    <w:rsid w:val="00CC2F28"/>
    <w:rsid w:val="00CC5F1A"/>
    <w:rsid w:val="00CC7B27"/>
    <w:rsid w:val="00CD3D13"/>
    <w:rsid w:val="00CE0870"/>
    <w:rsid w:val="00CE28F9"/>
    <w:rsid w:val="00CE2E6D"/>
    <w:rsid w:val="00CE3B9B"/>
    <w:rsid w:val="00CF097A"/>
    <w:rsid w:val="00CF0E31"/>
    <w:rsid w:val="00CF11C7"/>
    <w:rsid w:val="00CF37D5"/>
    <w:rsid w:val="00CF7667"/>
    <w:rsid w:val="00D03715"/>
    <w:rsid w:val="00D04099"/>
    <w:rsid w:val="00D0499A"/>
    <w:rsid w:val="00D07154"/>
    <w:rsid w:val="00D24761"/>
    <w:rsid w:val="00D32614"/>
    <w:rsid w:val="00D34145"/>
    <w:rsid w:val="00D4017A"/>
    <w:rsid w:val="00D41E07"/>
    <w:rsid w:val="00D46A0F"/>
    <w:rsid w:val="00D503D5"/>
    <w:rsid w:val="00D521F6"/>
    <w:rsid w:val="00D57DC5"/>
    <w:rsid w:val="00D60F85"/>
    <w:rsid w:val="00D61C84"/>
    <w:rsid w:val="00D628CB"/>
    <w:rsid w:val="00D6442B"/>
    <w:rsid w:val="00D66646"/>
    <w:rsid w:val="00D73739"/>
    <w:rsid w:val="00D74052"/>
    <w:rsid w:val="00D77F54"/>
    <w:rsid w:val="00D875BD"/>
    <w:rsid w:val="00DA0D7A"/>
    <w:rsid w:val="00DA1BA8"/>
    <w:rsid w:val="00DA2BBA"/>
    <w:rsid w:val="00DA6AB9"/>
    <w:rsid w:val="00DB12E7"/>
    <w:rsid w:val="00DB2FD9"/>
    <w:rsid w:val="00DB54C4"/>
    <w:rsid w:val="00DD05AD"/>
    <w:rsid w:val="00DD08E6"/>
    <w:rsid w:val="00DD17C8"/>
    <w:rsid w:val="00DD7505"/>
    <w:rsid w:val="00DE0CE7"/>
    <w:rsid w:val="00DE17F8"/>
    <w:rsid w:val="00DE1EB5"/>
    <w:rsid w:val="00DE1F0D"/>
    <w:rsid w:val="00DE22D1"/>
    <w:rsid w:val="00DF2D47"/>
    <w:rsid w:val="00DF3DCD"/>
    <w:rsid w:val="00E0082E"/>
    <w:rsid w:val="00E025EF"/>
    <w:rsid w:val="00E041A3"/>
    <w:rsid w:val="00E060CD"/>
    <w:rsid w:val="00E130F0"/>
    <w:rsid w:val="00E170FB"/>
    <w:rsid w:val="00E2014E"/>
    <w:rsid w:val="00E21544"/>
    <w:rsid w:val="00E262AD"/>
    <w:rsid w:val="00E26DE6"/>
    <w:rsid w:val="00E2711B"/>
    <w:rsid w:val="00E354CB"/>
    <w:rsid w:val="00E42F13"/>
    <w:rsid w:val="00E453AA"/>
    <w:rsid w:val="00E466FC"/>
    <w:rsid w:val="00E50887"/>
    <w:rsid w:val="00E54725"/>
    <w:rsid w:val="00E62295"/>
    <w:rsid w:val="00E62F5C"/>
    <w:rsid w:val="00E6476A"/>
    <w:rsid w:val="00E6570C"/>
    <w:rsid w:val="00E6696D"/>
    <w:rsid w:val="00E70975"/>
    <w:rsid w:val="00E768BF"/>
    <w:rsid w:val="00E82333"/>
    <w:rsid w:val="00E8273F"/>
    <w:rsid w:val="00E82A6D"/>
    <w:rsid w:val="00E875F4"/>
    <w:rsid w:val="00E912B1"/>
    <w:rsid w:val="00E92D19"/>
    <w:rsid w:val="00E951FB"/>
    <w:rsid w:val="00E96FEF"/>
    <w:rsid w:val="00E97522"/>
    <w:rsid w:val="00EA0EFF"/>
    <w:rsid w:val="00EA15DA"/>
    <w:rsid w:val="00EB3061"/>
    <w:rsid w:val="00EB4A68"/>
    <w:rsid w:val="00EB4F6F"/>
    <w:rsid w:val="00EB5603"/>
    <w:rsid w:val="00EB776C"/>
    <w:rsid w:val="00EC26B4"/>
    <w:rsid w:val="00EC5C0A"/>
    <w:rsid w:val="00ED55AC"/>
    <w:rsid w:val="00ED678F"/>
    <w:rsid w:val="00EE4051"/>
    <w:rsid w:val="00F00854"/>
    <w:rsid w:val="00F04423"/>
    <w:rsid w:val="00F056DD"/>
    <w:rsid w:val="00F05973"/>
    <w:rsid w:val="00F05998"/>
    <w:rsid w:val="00F10596"/>
    <w:rsid w:val="00F16E60"/>
    <w:rsid w:val="00F17077"/>
    <w:rsid w:val="00F20245"/>
    <w:rsid w:val="00F25C04"/>
    <w:rsid w:val="00F27400"/>
    <w:rsid w:val="00F34CC4"/>
    <w:rsid w:val="00F42B77"/>
    <w:rsid w:val="00F4519D"/>
    <w:rsid w:val="00F46A5F"/>
    <w:rsid w:val="00F47C0B"/>
    <w:rsid w:val="00F5512D"/>
    <w:rsid w:val="00F56D94"/>
    <w:rsid w:val="00F56F2C"/>
    <w:rsid w:val="00F606A7"/>
    <w:rsid w:val="00F60E58"/>
    <w:rsid w:val="00F61FE5"/>
    <w:rsid w:val="00F67C62"/>
    <w:rsid w:val="00F70391"/>
    <w:rsid w:val="00F76C63"/>
    <w:rsid w:val="00F90DAD"/>
    <w:rsid w:val="00F93CDF"/>
    <w:rsid w:val="00FA1631"/>
    <w:rsid w:val="00FA19D1"/>
    <w:rsid w:val="00FA3773"/>
    <w:rsid w:val="00FA4B64"/>
    <w:rsid w:val="00FA5163"/>
    <w:rsid w:val="00FA6205"/>
    <w:rsid w:val="00FA6F11"/>
    <w:rsid w:val="00FB1673"/>
    <w:rsid w:val="00FB36BB"/>
    <w:rsid w:val="00FB71F7"/>
    <w:rsid w:val="00FB7C4B"/>
    <w:rsid w:val="00FC2BDC"/>
    <w:rsid w:val="00FC2DBF"/>
    <w:rsid w:val="00FC44AB"/>
    <w:rsid w:val="00FC4979"/>
    <w:rsid w:val="00FC5CA3"/>
    <w:rsid w:val="00FD25AB"/>
    <w:rsid w:val="00FD373F"/>
    <w:rsid w:val="00FD58FF"/>
    <w:rsid w:val="00FD7863"/>
    <w:rsid w:val="00FE652B"/>
    <w:rsid w:val="00FE6868"/>
    <w:rsid w:val="00FF18D3"/>
    <w:rsid w:val="00FF26E0"/>
    <w:rsid w:val="00FF2A66"/>
    <w:rsid w:val="00FF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7FB9"/>
  <w15:chartTrackingRefBased/>
  <w15:docId w15:val="{B0A911B1-B469-4DF9-AE95-977A521E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74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2">
    <w:name w:val="heading 2"/>
    <w:basedOn w:val="Normal"/>
    <w:link w:val="Heading2Char"/>
    <w:uiPriority w:val="9"/>
    <w:qFormat/>
    <w:rsid w:val="0003223D"/>
    <w:pPr>
      <w:widowControl/>
      <w:autoSpaceDE/>
      <w:autoSpaceDN/>
      <w:adjustRightInd/>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03223D"/>
    <w:pPr>
      <w:widowControl/>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46"/>
    <w:pPr>
      <w:ind w:left="720"/>
      <w:contextualSpacing/>
    </w:pPr>
  </w:style>
  <w:style w:type="paragraph" w:styleId="FootnoteText">
    <w:name w:val="footnote text"/>
    <w:basedOn w:val="Normal"/>
    <w:link w:val="FootnoteTextChar"/>
    <w:uiPriority w:val="99"/>
    <w:unhideWhenUsed/>
    <w:rsid w:val="00144746"/>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44746"/>
    <w:rPr>
      <w:rFonts w:ascii="Times New Roman" w:hAnsi="Times New Roman"/>
      <w:sz w:val="20"/>
      <w:szCs w:val="20"/>
    </w:rPr>
  </w:style>
  <w:style w:type="character" w:styleId="FootnoteReference">
    <w:name w:val="footnote reference"/>
    <w:basedOn w:val="DefaultParagraphFont"/>
    <w:uiPriority w:val="99"/>
    <w:semiHidden/>
    <w:unhideWhenUsed/>
    <w:rsid w:val="00144746"/>
    <w:rPr>
      <w:vertAlign w:val="superscript"/>
    </w:rPr>
  </w:style>
  <w:style w:type="character" w:styleId="CommentReference">
    <w:name w:val="annotation reference"/>
    <w:basedOn w:val="DefaultParagraphFont"/>
    <w:uiPriority w:val="99"/>
    <w:semiHidden/>
    <w:unhideWhenUsed/>
    <w:rsid w:val="00C621F0"/>
    <w:rPr>
      <w:sz w:val="16"/>
      <w:szCs w:val="16"/>
    </w:rPr>
  </w:style>
  <w:style w:type="paragraph" w:styleId="CommentText">
    <w:name w:val="annotation text"/>
    <w:basedOn w:val="Normal"/>
    <w:link w:val="CommentTextChar"/>
    <w:uiPriority w:val="99"/>
    <w:semiHidden/>
    <w:unhideWhenUsed/>
    <w:rsid w:val="00C621F0"/>
  </w:style>
  <w:style w:type="character" w:customStyle="1" w:styleId="CommentTextChar">
    <w:name w:val="Comment Text Char"/>
    <w:basedOn w:val="DefaultParagraphFont"/>
    <w:link w:val="CommentText"/>
    <w:uiPriority w:val="99"/>
    <w:semiHidden/>
    <w:rsid w:val="00C621F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1F0"/>
    <w:rPr>
      <w:b/>
      <w:bCs/>
    </w:rPr>
  </w:style>
  <w:style w:type="character" w:customStyle="1" w:styleId="CommentSubjectChar">
    <w:name w:val="Comment Subject Char"/>
    <w:basedOn w:val="CommentTextChar"/>
    <w:link w:val="CommentSubject"/>
    <w:uiPriority w:val="99"/>
    <w:semiHidden/>
    <w:rsid w:val="00C621F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62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F0"/>
    <w:rPr>
      <w:rFonts w:ascii="Segoe UI" w:eastAsiaTheme="minorEastAsia" w:hAnsi="Segoe UI" w:cs="Segoe UI"/>
      <w:sz w:val="18"/>
      <w:szCs w:val="18"/>
    </w:rPr>
  </w:style>
  <w:style w:type="paragraph" w:customStyle="1" w:styleId="Level1">
    <w:name w:val="Level 1"/>
    <w:uiPriority w:val="99"/>
    <w:rsid w:val="00F60E58"/>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C6E3E"/>
    <w:pPr>
      <w:tabs>
        <w:tab w:val="center" w:pos="4680"/>
        <w:tab w:val="right" w:pos="9360"/>
      </w:tabs>
    </w:pPr>
  </w:style>
  <w:style w:type="character" w:customStyle="1" w:styleId="HeaderChar">
    <w:name w:val="Header Char"/>
    <w:basedOn w:val="DefaultParagraphFont"/>
    <w:link w:val="Header"/>
    <w:uiPriority w:val="99"/>
    <w:rsid w:val="000C6E3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C6E3E"/>
    <w:pPr>
      <w:tabs>
        <w:tab w:val="center" w:pos="4680"/>
        <w:tab w:val="right" w:pos="9360"/>
      </w:tabs>
    </w:pPr>
  </w:style>
  <w:style w:type="character" w:customStyle="1" w:styleId="FooterChar">
    <w:name w:val="Footer Char"/>
    <w:basedOn w:val="DefaultParagraphFont"/>
    <w:link w:val="Footer"/>
    <w:uiPriority w:val="99"/>
    <w:rsid w:val="000C6E3E"/>
    <w:rPr>
      <w:rFonts w:ascii="Times New Roman" w:eastAsiaTheme="minorEastAsia" w:hAnsi="Times New Roman" w:cs="Times New Roman"/>
      <w:sz w:val="20"/>
      <w:szCs w:val="20"/>
    </w:rPr>
  </w:style>
  <w:style w:type="paragraph" w:styleId="BodyText">
    <w:name w:val="Body Text"/>
    <w:basedOn w:val="Normal"/>
    <w:link w:val="BodyTextChar"/>
    <w:rsid w:val="00F93CDF"/>
    <w:pPr>
      <w:widowControl/>
      <w:autoSpaceDE/>
      <w:autoSpaceDN/>
      <w:adjustRightInd/>
      <w:spacing w:before="240"/>
    </w:pPr>
    <w:rPr>
      <w:rFonts w:eastAsia="Times New Roman"/>
      <w:sz w:val="24"/>
      <w:szCs w:val="24"/>
    </w:rPr>
  </w:style>
  <w:style w:type="character" w:customStyle="1" w:styleId="BodyTextChar">
    <w:name w:val="Body Text Char"/>
    <w:basedOn w:val="DefaultParagraphFont"/>
    <w:link w:val="BodyText"/>
    <w:rsid w:val="00F93CDF"/>
    <w:rPr>
      <w:rFonts w:ascii="Times New Roman" w:eastAsia="Times New Roman" w:hAnsi="Times New Roman" w:cs="Times New Roman"/>
      <w:sz w:val="24"/>
      <w:szCs w:val="24"/>
    </w:rPr>
  </w:style>
  <w:style w:type="character" w:customStyle="1" w:styleId="cohighlightpoints">
    <w:name w:val="co_highlightpoints"/>
    <w:basedOn w:val="DefaultParagraphFont"/>
    <w:rsid w:val="000E7E16"/>
  </w:style>
  <w:style w:type="character" w:customStyle="1" w:styleId="Heading2Char">
    <w:name w:val="Heading 2 Char"/>
    <w:basedOn w:val="DefaultParagraphFont"/>
    <w:link w:val="Heading2"/>
    <w:uiPriority w:val="9"/>
    <w:rsid w:val="000322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223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3223D"/>
    <w:rPr>
      <w:color w:val="0000FF"/>
      <w:u w:val="single"/>
    </w:rPr>
  </w:style>
  <w:style w:type="paragraph" w:styleId="Revision">
    <w:name w:val="Revision"/>
    <w:hidden/>
    <w:uiPriority w:val="99"/>
    <w:semiHidden/>
    <w:rsid w:val="00900A78"/>
    <w:pPr>
      <w:spacing w:after="0"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39123">
      <w:bodyDiv w:val="1"/>
      <w:marLeft w:val="0"/>
      <w:marRight w:val="0"/>
      <w:marTop w:val="0"/>
      <w:marBottom w:val="0"/>
      <w:divBdr>
        <w:top w:val="none" w:sz="0" w:space="0" w:color="auto"/>
        <w:left w:val="none" w:sz="0" w:space="0" w:color="auto"/>
        <w:bottom w:val="none" w:sz="0" w:space="0" w:color="auto"/>
        <w:right w:val="none" w:sz="0" w:space="0" w:color="auto"/>
      </w:divBdr>
    </w:div>
    <w:div w:id="473916095">
      <w:bodyDiv w:val="1"/>
      <w:marLeft w:val="0"/>
      <w:marRight w:val="0"/>
      <w:marTop w:val="0"/>
      <w:marBottom w:val="0"/>
      <w:divBdr>
        <w:top w:val="none" w:sz="0" w:space="0" w:color="auto"/>
        <w:left w:val="none" w:sz="0" w:space="0" w:color="auto"/>
        <w:bottom w:val="none" w:sz="0" w:space="0" w:color="auto"/>
        <w:right w:val="none" w:sz="0" w:space="0" w:color="auto"/>
      </w:divBdr>
    </w:div>
    <w:div w:id="669793999">
      <w:bodyDiv w:val="1"/>
      <w:marLeft w:val="0"/>
      <w:marRight w:val="0"/>
      <w:marTop w:val="0"/>
      <w:marBottom w:val="0"/>
      <w:divBdr>
        <w:top w:val="none" w:sz="0" w:space="0" w:color="auto"/>
        <w:left w:val="none" w:sz="0" w:space="0" w:color="auto"/>
        <w:bottom w:val="none" w:sz="0" w:space="0" w:color="auto"/>
        <w:right w:val="none" w:sz="0" w:space="0" w:color="auto"/>
      </w:divBdr>
    </w:div>
    <w:div w:id="12084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73101045&amp;pubNum=162&amp;originatingDoc=Id7f399f732f611d986b0aa9c82c164c0&amp;refType=RP&amp;fi=co_pp_sp_162_161&amp;originationContext=document&amp;transitionType=DocumentItem&amp;contextData=(sc.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CCC2C-26ED-486A-AC04-7B213B10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Christy</dc:creator>
  <cp:keywords/>
  <dc:description/>
  <cp:lastModifiedBy>Andrew</cp:lastModifiedBy>
  <cp:revision>10</cp:revision>
  <cp:lastPrinted>2018-04-23T14:47:00Z</cp:lastPrinted>
  <dcterms:created xsi:type="dcterms:W3CDTF">2019-01-30T19:44:00Z</dcterms:created>
  <dcterms:modified xsi:type="dcterms:W3CDTF">2019-01-31T13:25:00Z</dcterms:modified>
</cp:coreProperties>
</file>