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A3174" w14:textId="77777777" w:rsidR="009A00F3" w:rsidRPr="00C87DDD" w:rsidRDefault="009A00F3" w:rsidP="009A00F3">
      <w:pPr>
        <w:jc w:val="center"/>
        <w:rPr>
          <w:b/>
          <w:bCs/>
          <w:sz w:val="24"/>
          <w:szCs w:val="24"/>
        </w:rPr>
      </w:pPr>
      <w:r w:rsidRPr="00C87DDD">
        <w:rPr>
          <w:sz w:val="24"/>
          <w:szCs w:val="24"/>
          <w:lang w:val="en-CA"/>
        </w:rPr>
        <w:fldChar w:fldCharType="begin"/>
      </w:r>
      <w:r w:rsidRPr="00C87DDD">
        <w:rPr>
          <w:sz w:val="24"/>
          <w:szCs w:val="24"/>
          <w:lang w:val="en-CA"/>
        </w:rPr>
        <w:instrText xml:space="preserve"> SEQ CHAPTER \h \r 1</w:instrText>
      </w:r>
      <w:r w:rsidRPr="00C87DDD">
        <w:rPr>
          <w:sz w:val="24"/>
          <w:szCs w:val="24"/>
          <w:lang w:val="en-CA"/>
        </w:rPr>
        <w:fldChar w:fldCharType="end"/>
      </w:r>
      <w:r w:rsidRPr="00C87DDD">
        <w:rPr>
          <w:b/>
          <w:bCs/>
          <w:sz w:val="24"/>
          <w:szCs w:val="24"/>
        </w:rPr>
        <w:t>IN THE COURT OF COMMON PLEAS</w:t>
      </w:r>
    </w:p>
    <w:p w14:paraId="78C827D9" w14:textId="77777777" w:rsidR="009A00F3" w:rsidRPr="00C87DDD" w:rsidRDefault="009A00F3" w:rsidP="009A00F3">
      <w:pPr>
        <w:jc w:val="center"/>
        <w:rPr>
          <w:b/>
          <w:bCs/>
          <w:sz w:val="24"/>
          <w:szCs w:val="24"/>
        </w:rPr>
      </w:pPr>
      <w:r w:rsidRPr="00C87DDD">
        <w:rPr>
          <w:b/>
          <w:bCs/>
          <w:sz w:val="24"/>
          <w:szCs w:val="24"/>
        </w:rPr>
        <w:t xml:space="preserve">FOR </w:t>
      </w:r>
      <w:commentRangeStart w:id="0"/>
      <w:r w:rsidRPr="001C5154">
        <w:rPr>
          <w:b/>
          <w:bCs/>
          <w:color w:val="FF0000"/>
          <w:sz w:val="24"/>
          <w:szCs w:val="24"/>
        </w:rPr>
        <w:t>COUNTY NAME</w:t>
      </w:r>
      <w:commentRangeEnd w:id="0"/>
      <w:r>
        <w:rPr>
          <w:rStyle w:val="CommentReference"/>
        </w:rPr>
        <w:commentReference w:id="0"/>
      </w:r>
    </w:p>
    <w:p w14:paraId="31ADA193" w14:textId="77777777" w:rsidR="009A00F3" w:rsidRPr="00C87DDD" w:rsidRDefault="009A00F3" w:rsidP="009A00F3">
      <w:pPr>
        <w:rPr>
          <w:b/>
          <w:bCs/>
          <w:sz w:val="24"/>
          <w:szCs w:val="24"/>
        </w:rPr>
      </w:pPr>
    </w:p>
    <w:p w14:paraId="6D1C540C" w14:textId="77777777" w:rsidR="009A00F3" w:rsidRPr="00C87DDD" w:rsidRDefault="009A00F3" w:rsidP="009A00F3">
      <w:pPr>
        <w:jc w:val="center"/>
        <w:rPr>
          <w:b/>
          <w:bCs/>
          <w:sz w:val="24"/>
          <w:szCs w:val="24"/>
          <w:u w:val="single"/>
        </w:rPr>
      </w:pPr>
      <w:r w:rsidRPr="00C87DDD">
        <w:rPr>
          <w:b/>
          <w:bCs/>
          <w:sz w:val="24"/>
          <w:szCs w:val="24"/>
          <w:u w:val="single"/>
        </w:rPr>
        <w:t>CRIMINAL DIVISION</w:t>
      </w:r>
    </w:p>
    <w:p w14:paraId="72D153C8" w14:textId="77777777" w:rsidR="009A00F3" w:rsidRPr="00C87DDD" w:rsidRDefault="009A00F3" w:rsidP="009A00F3">
      <w:pPr>
        <w:rPr>
          <w:b/>
          <w:bCs/>
          <w:sz w:val="24"/>
          <w:szCs w:val="24"/>
        </w:rPr>
      </w:pPr>
    </w:p>
    <w:p w14:paraId="63881092" w14:textId="77777777" w:rsidR="009A00F3" w:rsidRPr="00C87DDD" w:rsidRDefault="009A00F3" w:rsidP="009A00F3">
      <w:pPr>
        <w:rPr>
          <w:b/>
          <w:bCs/>
          <w:sz w:val="24"/>
          <w:szCs w:val="24"/>
        </w:rPr>
      </w:pPr>
      <w:r w:rsidRPr="00C87DDD">
        <w:rPr>
          <w:b/>
          <w:bCs/>
          <w:sz w:val="24"/>
          <w:szCs w:val="24"/>
        </w:rPr>
        <w:t>COMMONWEALTH OF PENNSYLVANIA</w:t>
      </w:r>
      <w:r w:rsidRPr="00C87DDD">
        <w:rPr>
          <w:b/>
          <w:bCs/>
          <w:sz w:val="24"/>
          <w:szCs w:val="24"/>
        </w:rPr>
        <w:tab/>
        <w:t>)</w:t>
      </w:r>
    </w:p>
    <w:p w14:paraId="75F0A70C" w14:textId="77777777" w:rsidR="009A00F3" w:rsidRPr="00C87DDD" w:rsidRDefault="009A00F3" w:rsidP="009A00F3">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2C457AC9" w14:textId="77777777" w:rsidR="009A00F3" w:rsidRPr="00C87DDD" w:rsidRDefault="009A00F3" w:rsidP="009A00F3">
      <w:pPr>
        <w:rPr>
          <w:b/>
          <w:bCs/>
          <w:sz w:val="24"/>
          <w:szCs w:val="24"/>
        </w:rPr>
      </w:pPr>
      <w:r>
        <w:rPr>
          <w:b/>
          <w:bCs/>
          <w:sz w:val="24"/>
          <w:szCs w:val="24"/>
        </w:rPr>
        <w:tab/>
        <w:t>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t>Case No</w:t>
      </w:r>
      <w:r w:rsidRPr="00C87DDD">
        <w:rPr>
          <w:b/>
          <w:bCs/>
          <w:sz w:val="24"/>
          <w:szCs w:val="24"/>
        </w:rPr>
        <w:t xml:space="preserve">. </w:t>
      </w:r>
      <w:r>
        <w:rPr>
          <w:b/>
          <w:bCs/>
          <w:color w:val="FF0000"/>
          <w:sz w:val="24"/>
          <w:szCs w:val="24"/>
        </w:rPr>
        <w:t>#############</w:t>
      </w:r>
    </w:p>
    <w:p w14:paraId="00843B94" w14:textId="77777777" w:rsidR="009A00F3" w:rsidRPr="00C87DDD" w:rsidRDefault="009A00F3" w:rsidP="009A00F3">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r w:rsidRPr="00C87DDD">
        <w:rPr>
          <w:b/>
          <w:bCs/>
          <w:sz w:val="24"/>
          <w:szCs w:val="24"/>
        </w:rPr>
        <w:tab/>
      </w:r>
      <w:r w:rsidRPr="00C87DDD">
        <w:rPr>
          <w:b/>
          <w:bCs/>
          <w:sz w:val="24"/>
          <w:szCs w:val="24"/>
        </w:rPr>
        <w:tab/>
        <w:t xml:space="preserve">      </w:t>
      </w:r>
    </w:p>
    <w:p w14:paraId="6BEE45F9" w14:textId="77777777" w:rsidR="009A00F3" w:rsidRPr="00C87DDD" w:rsidRDefault="009A00F3" w:rsidP="009A00F3">
      <w:pPr>
        <w:rPr>
          <w:b/>
          <w:bCs/>
          <w:sz w:val="24"/>
          <w:szCs w:val="24"/>
        </w:rPr>
      </w:pPr>
      <w:r>
        <w:rPr>
          <w:b/>
          <w:bCs/>
          <w:color w:val="FF0000"/>
          <w:sz w:val="24"/>
          <w:szCs w:val="24"/>
        </w:rPr>
        <w:t>JOHN DOE</w:t>
      </w:r>
      <w:r>
        <w:rPr>
          <w:b/>
          <w:bCs/>
          <w:color w:val="FF0000"/>
          <w:sz w:val="24"/>
          <w:szCs w:val="24"/>
        </w:rPr>
        <w:tab/>
      </w:r>
      <w:r w:rsidRPr="00C87DDD">
        <w:rPr>
          <w:b/>
          <w:bCs/>
          <w:sz w:val="24"/>
          <w:szCs w:val="24"/>
        </w:rPr>
        <w:tab/>
      </w:r>
      <w:r w:rsidRPr="00C87DDD">
        <w:rPr>
          <w:b/>
          <w:bCs/>
          <w:sz w:val="24"/>
          <w:szCs w:val="24"/>
        </w:rPr>
        <w:tab/>
      </w:r>
      <w:r w:rsidRPr="00C87DDD">
        <w:rPr>
          <w:b/>
          <w:bCs/>
          <w:sz w:val="24"/>
          <w:szCs w:val="24"/>
        </w:rPr>
        <w:tab/>
      </w:r>
      <w:r>
        <w:rPr>
          <w:b/>
          <w:bCs/>
          <w:sz w:val="24"/>
          <w:szCs w:val="24"/>
        </w:rPr>
        <w:tab/>
      </w:r>
      <w:r>
        <w:rPr>
          <w:b/>
          <w:bCs/>
          <w:sz w:val="24"/>
          <w:szCs w:val="24"/>
        </w:rPr>
        <w:tab/>
      </w:r>
      <w:r w:rsidRPr="00C87DDD">
        <w:rPr>
          <w:b/>
          <w:bCs/>
          <w:sz w:val="24"/>
          <w:szCs w:val="24"/>
        </w:rPr>
        <w:t>)</w:t>
      </w:r>
    </w:p>
    <w:p w14:paraId="2EFF5DEA" w14:textId="77777777" w:rsidR="009A00F3" w:rsidRPr="00C87DDD" w:rsidRDefault="009A00F3" w:rsidP="009A00F3">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15C2B426" w14:textId="77777777" w:rsidR="009A00F3" w:rsidRPr="00C87DDD" w:rsidRDefault="009A00F3" w:rsidP="009A00F3">
      <w:pPr>
        <w:rPr>
          <w:sz w:val="24"/>
          <w:szCs w:val="24"/>
        </w:rPr>
      </w:pPr>
      <w:r w:rsidRPr="00C87DDD">
        <w:rPr>
          <w:b/>
          <w:bCs/>
          <w:sz w:val="24"/>
          <w:szCs w:val="24"/>
        </w:rPr>
        <w:t>__________________________________________)</w:t>
      </w:r>
    </w:p>
    <w:p w14:paraId="793054EC" w14:textId="77777777" w:rsidR="006360A7" w:rsidRPr="00C87DDD" w:rsidRDefault="006360A7" w:rsidP="006360A7">
      <w:pPr>
        <w:tabs>
          <w:tab w:val="left" w:pos="6825"/>
        </w:tabs>
        <w:rPr>
          <w:sz w:val="24"/>
          <w:szCs w:val="24"/>
        </w:rPr>
      </w:pPr>
      <w:r>
        <w:rPr>
          <w:sz w:val="24"/>
          <w:szCs w:val="24"/>
        </w:rPr>
        <w:tab/>
      </w:r>
    </w:p>
    <w:p w14:paraId="4E36DB6B" w14:textId="77777777" w:rsidR="00F8752F" w:rsidRPr="0011014E" w:rsidRDefault="00F8752F" w:rsidP="00F8752F">
      <w:pPr>
        <w:rPr>
          <w:sz w:val="24"/>
          <w:szCs w:val="24"/>
        </w:rPr>
      </w:pPr>
    </w:p>
    <w:p w14:paraId="0BDC25D4" w14:textId="1E81BA09" w:rsidR="00F8752F" w:rsidRPr="0011014E" w:rsidRDefault="00807DBF" w:rsidP="00793625">
      <w:pPr>
        <w:jc w:val="center"/>
        <w:outlineLvl w:val="0"/>
        <w:rPr>
          <w:sz w:val="24"/>
          <w:szCs w:val="24"/>
        </w:rPr>
      </w:pPr>
      <w:commentRangeStart w:id="1"/>
      <w:r>
        <w:rPr>
          <w:b/>
          <w:bCs/>
          <w:sz w:val="24"/>
          <w:szCs w:val="24"/>
          <w:u w:val="single"/>
        </w:rPr>
        <w:t xml:space="preserve">MEMORANDUM OF POINTS AND AUTHORITIES IN SUPPORT OF </w:t>
      </w:r>
      <w:r w:rsidR="006A029D">
        <w:rPr>
          <w:b/>
          <w:bCs/>
          <w:sz w:val="24"/>
          <w:szCs w:val="24"/>
          <w:u w:val="single"/>
        </w:rPr>
        <w:t xml:space="preserve">MOTION TO </w:t>
      </w:r>
      <w:r w:rsidR="00793625">
        <w:rPr>
          <w:b/>
          <w:bCs/>
          <w:sz w:val="24"/>
          <w:szCs w:val="24"/>
          <w:u w:val="single"/>
        </w:rPr>
        <w:t>WAIVE SUPERVISION</w:t>
      </w:r>
      <w:r w:rsidR="00F046C5">
        <w:rPr>
          <w:b/>
          <w:bCs/>
          <w:sz w:val="24"/>
          <w:szCs w:val="24"/>
          <w:u w:val="single"/>
        </w:rPr>
        <w:t xml:space="preserve"> COSTS</w:t>
      </w:r>
      <w:commentRangeEnd w:id="1"/>
      <w:r w:rsidR="009A00F3">
        <w:rPr>
          <w:rStyle w:val="CommentReference"/>
        </w:rPr>
        <w:commentReference w:id="1"/>
      </w:r>
    </w:p>
    <w:p w14:paraId="17A3E3A6" w14:textId="77777777" w:rsidR="00F8752F" w:rsidRPr="0011014E" w:rsidRDefault="00F8752F" w:rsidP="00F8752F">
      <w:pPr>
        <w:rPr>
          <w:sz w:val="24"/>
          <w:szCs w:val="24"/>
        </w:rPr>
      </w:pPr>
    </w:p>
    <w:p w14:paraId="05612289" w14:textId="5D59A287" w:rsidR="00F81625" w:rsidRDefault="00F8752F" w:rsidP="00A733FA">
      <w:pPr>
        <w:spacing w:line="480" w:lineRule="auto"/>
        <w:rPr>
          <w:sz w:val="24"/>
          <w:szCs w:val="24"/>
        </w:rPr>
      </w:pPr>
      <w:r w:rsidRPr="0011014E">
        <w:rPr>
          <w:sz w:val="24"/>
          <w:szCs w:val="24"/>
        </w:rPr>
        <w:tab/>
      </w:r>
      <w:r w:rsidR="00A733FA">
        <w:rPr>
          <w:sz w:val="24"/>
          <w:szCs w:val="24"/>
        </w:rPr>
        <w:t xml:space="preserve">Defendant </w:t>
      </w:r>
      <w:r w:rsidR="009A00F3">
        <w:rPr>
          <w:color w:val="FF0000"/>
          <w:sz w:val="24"/>
          <w:szCs w:val="24"/>
        </w:rPr>
        <w:t>John Doe</w:t>
      </w:r>
      <w:r w:rsidR="00A733FA">
        <w:rPr>
          <w:sz w:val="24"/>
          <w:szCs w:val="24"/>
        </w:rPr>
        <w:t xml:space="preserve">, through counsel, hereby moves this Honorable Court to </w:t>
      </w:r>
      <w:r w:rsidR="001A6B25">
        <w:rPr>
          <w:sz w:val="24"/>
          <w:szCs w:val="24"/>
        </w:rPr>
        <w:t xml:space="preserve">waive the </w:t>
      </w:r>
      <w:r w:rsidR="00405A3E">
        <w:rPr>
          <w:sz w:val="24"/>
          <w:szCs w:val="24"/>
        </w:rPr>
        <w:t>$</w:t>
      </w:r>
      <w:commentRangeStart w:id="2"/>
      <w:r w:rsidR="009A00F3">
        <w:rPr>
          <w:color w:val="FF0000"/>
          <w:sz w:val="24"/>
          <w:szCs w:val="24"/>
        </w:rPr>
        <w:t>X</w:t>
      </w:r>
      <w:r w:rsidR="001A6B25" w:rsidRPr="009A00F3">
        <w:rPr>
          <w:color w:val="FF0000"/>
          <w:sz w:val="24"/>
          <w:szCs w:val="24"/>
        </w:rPr>
        <w:t xml:space="preserve"> </w:t>
      </w:r>
      <w:commentRangeEnd w:id="2"/>
      <w:r w:rsidR="009A00F3">
        <w:rPr>
          <w:rStyle w:val="CommentReference"/>
        </w:rPr>
        <w:commentReference w:id="2"/>
      </w:r>
      <w:r w:rsidR="001A6B25">
        <w:rPr>
          <w:sz w:val="24"/>
          <w:szCs w:val="24"/>
        </w:rPr>
        <w:t>he owes to this court in supervision costs</w:t>
      </w:r>
      <w:r w:rsidR="00405A3E">
        <w:rPr>
          <w:sz w:val="24"/>
          <w:szCs w:val="24"/>
        </w:rPr>
        <w:t xml:space="preserve"> based on his </w:t>
      </w:r>
      <w:r w:rsidR="001A6B25">
        <w:rPr>
          <w:sz w:val="24"/>
          <w:szCs w:val="24"/>
        </w:rPr>
        <w:t xml:space="preserve">inability to pay, </w:t>
      </w:r>
      <w:r w:rsidR="00EF4BDE">
        <w:rPr>
          <w:sz w:val="24"/>
          <w:szCs w:val="24"/>
        </w:rPr>
        <w:t xml:space="preserve">pursuant to </w:t>
      </w:r>
      <w:r w:rsidR="00405A3E" w:rsidRPr="00405A3E">
        <w:rPr>
          <w:sz w:val="24"/>
          <w:szCs w:val="24"/>
        </w:rPr>
        <w:t>18 P.S. § 11.1102(c)</w:t>
      </w:r>
      <w:r w:rsidR="00F77B91">
        <w:rPr>
          <w:sz w:val="24"/>
          <w:szCs w:val="24"/>
        </w:rPr>
        <w:t xml:space="preserve"> and Pa.R.Crim.P. 706(C)</w:t>
      </w:r>
      <w:r w:rsidR="000E03A9">
        <w:rPr>
          <w:sz w:val="24"/>
          <w:szCs w:val="24"/>
        </w:rPr>
        <w:t>, and as grounds thereof</w:t>
      </w:r>
      <w:r w:rsidR="00A733FA">
        <w:rPr>
          <w:sz w:val="24"/>
          <w:szCs w:val="24"/>
        </w:rPr>
        <w:t xml:space="preserve"> avers as follows:</w:t>
      </w:r>
    </w:p>
    <w:p w14:paraId="75CFB348" w14:textId="0619D686" w:rsidR="00D273C7" w:rsidRDefault="00F77B91" w:rsidP="00F77B91">
      <w:pPr>
        <w:pStyle w:val="Level1"/>
        <w:numPr>
          <w:ilvl w:val="0"/>
          <w:numId w:val="3"/>
        </w:numPr>
        <w:tabs>
          <w:tab w:val="left" w:pos="720"/>
        </w:tabs>
        <w:spacing w:line="480" w:lineRule="auto"/>
        <w:ind w:hanging="720"/>
        <w:rPr>
          <w:rFonts w:eastAsia="Times New Roman"/>
        </w:rPr>
      </w:pPr>
      <w:r>
        <w:rPr>
          <w:rStyle w:val="s1"/>
          <w:rFonts w:eastAsia="Times New Roman"/>
        </w:rPr>
        <w:t xml:space="preserve">Mr. </w:t>
      </w:r>
      <w:r w:rsidR="009A00F3">
        <w:rPr>
          <w:rStyle w:val="s1"/>
          <w:rFonts w:eastAsia="Times New Roman"/>
          <w:color w:val="FF0000"/>
        </w:rPr>
        <w:t>Doe’s</w:t>
      </w:r>
      <w:r w:rsidRPr="009A00F3">
        <w:rPr>
          <w:rStyle w:val="s1"/>
          <w:rFonts w:eastAsia="Times New Roman"/>
          <w:color w:val="FF0000"/>
        </w:rPr>
        <w:t xml:space="preserve"> </w:t>
      </w:r>
      <w:r>
        <w:rPr>
          <w:rStyle w:val="s1"/>
          <w:rFonts w:eastAsia="Times New Roman"/>
        </w:rPr>
        <w:t xml:space="preserve">supervision fees were imposed pursuant to </w:t>
      </w:r>
      <w:r w:rsidRPr="001561FB">
        <w:rPr>
          <w:rFonts w:eastAsia="Times New Roman"/>
        </w:rPr>
        <w:t>18 P.S. § 11.1102</w:t>
      </w:r>
      <w:r>
        <w:rPr>
          <w:rFonts w:eastAsia="Times New Roman"/>
        </w:rPr>
        <w:t xml:space="preserve">, which also provides explicit statutory authority for this Court to waive those fees “based on an offender’s present inability to pay.” </w:t>
      </w:r>
      <w:r w:rsidRPr="001561FB">
        <w:rPr>
          <w:rFonts w:eastAsia="Times New Roman"/>
        </w:rPr>
        <w:t>18 P.S. § 11.1102</w:t>
      </w:r>
      <w:r>
        <w:rPr>
          <w:rFonts w:eastAsia="Times New Roman"/>
        </w:rPr>
        <w:t xml:space="preserve">(c). Moreover, the Commonwealth Court has explained that the procedure outlined by Pa.R.Crim.P. 706(C) permits a defendant to petition the court post-sentencing when that defendant lacks the ability to make payments on his costs. </w:t>
      </w:r>
      <w:r>
        <w:rPr>
          <w:rStyle w:val="s1"/>
          <w:rFonts w:eastAsia="Times New Roman"/>
          <w:i/>
        </w:rPr>
        <w:t>See</w:t>
      </w:r>
      <w:r w:rsidR="000A7F73">
        <w:rPr>
          <w:rStyle w:val="s1"/>
        </w:rPr>
        <w:t xml:space="preserve"> </w:t>
      </w:r>
      <w:r w:rsidR="000A7F73" w:rsidRPr="000A7F73">
        <w:rPr>
          <w:rStyle w:val="s1"/>
          <w:i/>
        </w:rPr>
        <w:t>Lepre v. Susquehanna County Clerk of Judicial Records</w:t>
      </w:r>
      <w:r w:rsidR="000A7F73" w:rsidRPr="000A7F73">
        <w:rPr>
          <w:rStyle w:val="s1"/>
        </w:rPr>
        <w:t>, 2121 C.D. 2012, 2013 WL 5508784</w:t>
      </w:r>
      <w:r w:rsidR="00807DBF">
        <w:rPr>
          <w:rStyle w:val="s1"/>
        </w:rPr>
        <w:t xml:space="preserve"> at *3</w:t>
      </w:r>
      <w:r w:rsidR="000A7F73" w:rsidRPr="000A7F73">
        <w:rPr>
          <w:rStyle w:val="s1"/>
        </w:rPr>
        <w:t xml:space="preserve"> (Pa. Commw. Ct. 2013)</w:t>
      </w:r>
      <w:r>
        <w:rPr>
          <w:rStyle w:val="s1"/>
        </w:rPr>
        <w:t>.</w:t>
      </w:r>
    </w:p>
    <w:p w14:paraId="773B4A6B" w14:textId="39AC488B" w:rsidR="00CB12BC" w:rsidRDefault="00807DBF" w:rsidP="00CB12BC">
      <w:pPr>
        <w:pStyle w:val="Level1"/>
        <w:numPr>
          <w:ilvl w:val="0"/>
          <w:numId w:val="3"/>
        </w:numPr>
        <w:tabs>
          <w:tab w:val="left" w:pos="720"/>
        </w:tabs>
        <w:spacing w:line="480" w:lineRule="auto"/>
        <w:ind w:hanging="720"/>
      </w:pPr>
      <w:r>
        <w:rPr>
          <w:rFonts w:eastAsia="Times New Roman"/>
        </w:rPr>
        <w:t xml:space="preserve">At a hearing on this matter, Mr. </w:t>
      </w:r>
      <w:r w:rsidR="004C54C0">
        <w:rPr>
          <w:rStyle w:val="s1"/>
          <w:rFonts w:eastAsia="Times New Roman"/>
          <w:color w:val="FF0000"/>
        </w:rPr>
        <w:t xml:space="preserve">Doe </w:t>
      </w:r>
      <w:r>
        <w:rPr>
          <w:rFonts w:eastAsia="Times New Roman"/>
        </w:rPr>
        <w:t xml:space="preserve">will provide </w:t>
      </w:r>
      <w:commentRangeStart w:id="3"/>
      <w:r>
        <w:rPr>
          <w:rFonts w:eastAsia="Times New Roman"/>
        </w:rPr>
        <w:t>evidence that he</w:t>
      </w:r>
      <w:r w:rsidR="00F77B91">
        <w:rPr>
          <w:rFonts w:eastAsia="Times New Roman"/>
        </w:rPr>
        <w:t xml:space="preserve"> lacks the ability to pay his supervision fees </w:t>
      </w:r>
      <w:r>
        <w:t>because his</w:t>
      </w:r>
      <w:r w:rsidR="00F77B91">
        <w:t xml:space="preserve"> current income </w:t>
      </w:r>
      <w:r w:rsidR="003028EC">
        <w:t>does not allow him</w:t>
      </w:r>
      <w:r w:rsidR="00F77B91">
        <w:t xml:space="preserve"> to live on his own</w:t>
      </w:r>
      <w:r>
        <w:t xml:space="preserve"> and h</w:t>
      </w:r>
      <w:r w:rsidR="00F77B91">
        <w:t>e receives public benefits in the form of food stamps and Medicaid. Accordingly, he is indigent.</w:t>
      </w:r>
      <w:r w:rsidR="00B242EB">
        <w:t xml:space="preserve"> </w:t>
      </w:r>
      <w:r w:rsidR="00B242EB">
        <w:rPr>
          <w:i/>
        </w:rPr>
        <w:t>See Commonwealth</w:t>
      </w:r>
      <w:r w:rsidR="00B242EB" w:rsidRPr="00667804">
        <w:rPr>
          <w:i/>
        </w:rPr>
        <w:t xml:space="preserve"> v. Eggers</w:t>
      </w:r>
      <w:r w:rsidR="00B242EB" w:rsidRPr="00667804">
        <w:t>, 742 A.2d 174</w:t>
      </w:r>
      <w:r w:rsidR="00B242EB">
        <w:t xml:space="preserve">, 176 n.1 (Pa. Super. Ct. 1999) (receiving public assistance (e.g., food stamps or Medicaid) and the services of the public </w:t>
      </w:r>
      <w:r w:rsidR="00B242EB">
        <w:lastRenderedPageBreak/>
        <w:t>defender’s office “invite the presumption of indigence.”).</w:t>
      </w:r>
      <w:r w:rsidR="0019582F">
        <w:t xml:space="preserve"> </w:t>
      </w:r>
      <w:commentRangeEnd w:id="3"/>
      <w:r w:rsidR="004C54C0">
        <w:rPr>
          <w:rStyle w:val="CommentReference"/>
        </w:rPr>
        <w:commentReference w:id="3"/>
      </w:r>
    </w:p>
    <w:p w14:paraId="38A2F065" w14:textId="32006F1E" w:rsidR="0019582F" w:rsidRDefault="0019582F" w:rsidP="0019582F">
      <w:pPr>
        <w:pStyle w:val="Level1"/>
        <w:numPr>
          <w:ilvl w:val="0"/>
          <w:numId w:val="3"/>
        </w:numPr>
        <w:tabs>
          <w:tab w:val="left" w:pos="720"/>
        </w:tabs>
        <w:spacing w:line="480" w:lineRule="auto"/>
        <w:ind w:hanging="720"/>
      </w:pPr>
      <w:r>
        <w:t xml:space="preserve">Mr. </w:t>
      </w:r>
      <w:r w:rsidR="004C54C0">
        <w:rPr>
          <w:color w:val="FF0000"/>
        </w:rPr>
        <w:t>Doe</w:t>
      </w:r>
      <w:r w:rsidR="009E382F" w:rsidRPr="004C54C0">
        <w:rPr>
          <w:color w:val="FF0000"/>
        </w:rPr>
        <w:t xml:space="preserve"> </w:t>
      </w:r>
      <w:r w:rsidR="009E382F">
        <w:t xml:space="preserve">respectfully requests that the Court </w:t>
      </w:r>
      <w:r w:rsidR="000A7F73">
        <w:t xml:space="preserve">exercise the discretion granted under </w:t>
      </w:r>
      <w:r w:rsidR="000A7F73" w:rsidRPr="001561FB">
        <w:rPr>
          <w:rFonts w:eastAsia="Times New Roman"/>
        </w:rPr>
        <w:t>18 P.S. § 11.1102</w:t>
      </w:r>
      <w:r w:rsidR="000A7F73">
        <w:rPr>
          <w:rFonts w:eastAsia="Times New Roman"/>
        </w:rPr>
        <w:t xml:space="preserve">(c) </w:t>
      </w:r>
      <w:r w:rsidR="00F77B91">
        <w:rPr>
          <w:rFonts w:eastAsia="Times New Roman"/>
        </w:rPr>
        <w:t xml:space="preserve">and Pa.R.Crim.P. 706(C) </w:t>
      </w:r>
      <w:r w:rsidR="000A7F73">
        <w:rPr>
          <w:rFonts w:eastAsia="Times New Roman"/>
        </w:rPr>
        <w:t xml:space="preserve">to </w:t>
      </w:r>
      <w:r w:rsidR="000A7F73">
        <w:t>waive</w:t>
      </w:r>
      <w:r w:rsidR="009E382F">
        <w:t xml:space="preserve"> </w:t>
      </w:r>
      <w:r w:rsidR="000A7F73">
        <w:t>the $</w:t>
      </w:r>
      <w:r w:rsidR="004C54C0">
        <w:rPr>
          <w:color w:val="FF0000"/>
        </w:rPr>
        <w:t>X</w:t>
      </w:r>
      <w:r w:rsidR="000A7F73" w:rsidRPr="004C54C0">
        <w:rPr>
          <w:color w:val="FF0000"/>
        </w:rPr>
        <w:t xml:space="preserve"> </w:t>
      </w:r>
      <w:r w:rsidR="000A7F73">
        <w:t xml:space="preserve">in supervision costs he owes. </w:t>
      </w:r>
      <w:r w:rsidR="00F77B91">
        <w:t xml:space="preserve"> </w:t>
      </w:r>
    </w:p>
    <w:p w14:paraId="127E659C" w14:textId="40331BD4" w:rsidR="00ED2995" w:rsidRDefault="00AE622E" w:rsidP="0019582F">
      <w:pPr>
        <w:pStyle w:val="Level1"/>
        <w:numPr>
          <w:ilvl w:val="0"/>
          <w:numId w:val="3"/>
        </w:numPr>
        <w:tabs>
          <w:tab w:val="left" w:pos="720"/>
        </w:tabs>
        <w:spacing w:line="480" w:lineRule="auto"/>
        <w:ind w:hanging="720"/>
      </w:pPr>
      <w:r>
        <w:t xml:space="preserve">That Mr. </w:t>
      </w:r>
      <w:r w:rsidR="004C54C0">
        <w:rPr>
          <w:color w:val="FF0000"/>
        </w:rPr>
        <w:t>Doe</w:t>
      </w:r>
      <w:r w:rsidRPr="004C54C0">
        <w:rPr>
          <w:color w:val="FF0000"/>
        </w:rPr>
        <w:t xml:space="preserve"> </w:t>
      </w:r>
      <w:r>
        <w:t xml:space="preserve">is employed </w:t>
      </w:r>
      <w:commentRangeStart w:id="5"/>
      <w:r>
        <w:t xml:space="preserve">part-time and makes some money does not, as a matter of law, </w:t>
      </w:r>
      <w:r w:rsidR="00F77B91">
        <w:t>mean that he has the “ability to pay” his supervision fees</w:t>
      </w:r>
      <w:r>
        <w:t xml:space="preserve">. </w:t>
      </w:r>
      <w:commentRangeEnd w:id="5"/>
      <w:r w:rsidR="004C54C0">
        <w:rPr>
          <w:rStyle w:val="CommentReference"/>
        </w:rPr>
        <w:commentReference w:id="5"/>
      </w:r>
      <w:r w:rsidR="003E6C62">
        <w:t xml:space="preserve">If a defendant has no “financial assets [or] liabilities” and has been “living from hand to mouth,” </w:t>
      </w:r>
      <w:r w:rsidR="002759EB">
        <w:t>a</w:t>
      </w:r>
      <w:r w:rsidR="003E6C62">
        <w:t xml:space="preserve"> court </w:t>
      </w:r>
      <w:r w:rsidR="002759EB">
        <w:t xml:space="preserve">imposing a fine </w:t>
      </w:r>
      <w:r w:rsidR="003E6C62">
        <w:t xml:space="preserve">lacks any evidence supporting a finding of ability to pay </w:t>
      </w:r>
      <w:r w:rsidR="002759EB">
        <w:t>the fine</w:t>
      </w:r>
      <w:r w:rsidR="003E6C62">
        <w:t xml:space="preserve">. </w:t>
      </w:r>
      <w:r w:rsidR="003E6C62">
        <w:rPr>
          <w:i/>
        </w:rPr>
        <w:t>Commonwealth</w:t>
      </w:r>
      <w:r w:rsidR="003E6C62" w:rsidRPr="00667804">
        <w:rPr>
          <w:i/>
        </w:rPr>
        <w:t xml:space="preserve"> v. Gaskin</w:t>
      </w:r>
      <w:r w:rsidR="003E6C62" w:rsidRPr="00667804">
        <w:t>, 472 A.2d 1154, 1157-58</w:t>
      </w:r>
      <w:r w:rsidR="003E6C62">
        <w:t xml:space="preserve"> (Pa. Super. Ct. 1984). In the in forma pauperis context,</w:t>
      </w:r>
      <w:r w:rsidR="00724DCC">
        <w:rPr>
          <w:rStyle w:val="FootnoteReference"/>
        </w:rPr>
        <w:footnoteReference w:id="1"/>
      </w:r>
      <w:r w:rsidR="003E6C62">
        <w:t xml:space="preserve"> the Superior Court has explained that the dispositive question is not whether a defendant is “unable to pay the costs but whether they are in poverty. If they are in poverty, it follows that they are unable to pay the costs, and their petition should be granted.” </w:t>
      </w:r>
      <w:r w:rsidR="003E6C62">
        <w:rPr>
          <w:i/>
        </w:rPr>
        <w:t xml:space="preserve">Gerlitzki v. </w:t>
      </w:r>
      <w:r w:rsidR="003E6C62" w:rsidRPr="00667804">
        <w:rPr>
          <w:i/>
        </w:rPr>
        <w:t>Feldser</w:t>
      </w:r>
      <w:r w:rsidR="003E6C62" w:rsidRPr="00667804">
        <w:t>, 307 A.2d 307, 308</w:t>
      </w:r>
      <w:r w:rsidR="003E6C62">
        <w:t xml:space="preserve"> (Pa. Super. Ct. 1973)</w:t>
      </w:r>
      <w:r w:rsidR="001A086C">
        <w:t xml:space="preserve"> (en banc)</w:t>
      </w:r>
      <w:r w:rsidR="003E6C62">
        <w:t xml:space="preserve">. </w:t>
      </w:r>
      <w:r w:rsidR="009E382F">
        <w:t>In other words,</w:t>
      </w:r>
      <w:r w:rsidR="003E6C62">
        <w:t xml:space="preserve"> an indigent individual is—as a matter of law—</w:t>
      </w:r>
      <w:r w:rsidR="003E6C62">
        <w:rPr>
          <w:i/>
        </w:rPr>
        <w:t>unable</w:t>
      </w:r>
      <w:r w:rsidR="003E6C62">
        <w:t xml:space="preserve"> to pay. </w:t>
      </w:r>
      <w:r w:rsidR="003E6C62">
        <w:rPr>
          <w:i/>
        </w:rPr>
        <w:t>See Schoepple v. Schoepple</w:t>
      </w:r>
      <w:r w:rsidR="003E6C62">
        <w:t>, 361 A.2d 665, 667 (Pa. Super Ct. 1976)</w:t>
      </w:r>
      <w:r w:rsidR="001A086C">
        <w:t xml:space="preserve"> (en banc)</w:t>
      </w:r>
      <w:r w:rsidR="003E6C62" w:rsidRPr="003E6C62">
        <w:t xml:space="preserve"> </w:t>
      </w:r>
      <w:r w:rsidR="003E6C62">
        <w:t>(“[O]ne in poverty will not be able to pay costs.”).</w:t>
      </w:r>
    </w:p>
    <w:p w14:paraId="30ED9E11" w14:textId="77777777" w:rsidR="009473BB" w:rsidRDefault="00ED2995" w:rsidP="009473BB">
      <w:pPr>
        <w:pStyle w:val="Level1"/>
        <w:numPr>
          <w:ilvl w:val="0"/>
          <w:numId w:val="3"/>
        </w:numPr>
        <w:tabs>
          <w:tab w:val="left" w:pos="720"/>
        </w:tabs>
        <w:spacing w:line="480" w:lineRule="auto"/>
        <w:ind w:hanging="720"/>
      </w:pPr>
      <w:r>
        <w:lastRenderedPageBreak/>
        <w:t>Pennsylvania’s appellate courts have explained through these IFP cases that an individual who will be unable to pay in the near future does not have the “</w:t>
      </w:r>
      <w:commentRangeStart w:id="6"/>
      <w:r>
        <w:t>present” ability to pay</w:t>
      </w:r>
      <w:commentRangeEnd w:id="6"/>
      <w:r w:rsidR="004C54C0">
        <w:rPr>
          <w:rStyle w:val="CommentReference"/>
        </w:rPr>
        <w:commentReference w:id="6"/>
      </w:r>
      <w:r>
        <w:t xml:space="preserve">. In </w:t>
      </w:r>
      <w:r>
        <w:rPr>
          <w:i/>
        </w:rPr>
        <w:t>Schoepple</w:t>
      </w:r>
      <w:r>
        <w:t xml:space="preserve">, for example, the court found no present ability to pay where it would be “about twenty months” before the petitioner would be able to pay a fee required to appeal. </w:t>
      </w:r>
      <w:r>
        <w:rPr>
          <w:i/>
        </w:rPr>
        <w:t>Schoepple</w:t>
      </w:r>
      <w:r>
        <w:t xml:space="preserve">, 361 A.2d at 668. </w:t>
      </w:r>
      <w:r>
        <w:rPr>
          <w:i/>
        </w:rPr>
        <w:t>See also</w:t>
      </w:r>
      <w:r>
        <w:t xml:space="preserve"> </w:t>
      </w:r>
      <w:r>
        <w:rPr>
          <w:i/>
        </w:rPr>
        <w:t>Stein Enterprises v. Golla</w:t>
      </w:r>
      <w:r>
        <w:t xml:space="preserve">, </w:t>
      </w:r>
      <w:r w:rsidR="009473BB">
        <w:t>426 A.2d 1129, 1133 (Pa. 1981) (individual eligible for IFP where even “i</w:t>
      </w:r>
      <w:r w:rsidR="009473BB" w:rsidRPr="009473BB">
        <w:t>f appellant were to devote his entire excess income to paying the $250.00 here in issue, it would take him at least two years to fulfill this obligation: the law mu</w:t>
      </w:r>
      <w:r w:rsidR="009473BB">
        <w:t>st not be so hard a taskmaster.”).</w:t>
      </w:r>
    </w:p>
    <w:p w14:paraId="5DED208A" w14:textId="4129E714" w:rsidR="00AE622E" w:rsidRDefault="009473BB" w:rsidP="009473BB">
      <w:pPr>
        <w:pStyle w:val="Level1"/>
        <w:numPr>
          <w:ilvl w:val="0"/>
          <w:numId w:val="3"/>
        </w:numPr>
        <w:tabs>
          <w:tab w:val="left" w:pos="720"/>
        </w:tabs>
        <w:spacing w:line="480" w:lineRule="auto"/>
        <w:ind w:hanging="720"/>
      </w:pPr>
      <w:r>
        <w:t xml:space="preserve">Mr. </w:t>
      </w:r>
      <w:r w:rsidR="004C54C0">
        <w:rPr>
          <w:color w:val="FF0000"/>
        </w:rPr>
        <w:t>Doe</w:t>
      </w:r>
      <w:r w:rsidRPr="004C54C0">
        <w:rPr>
          <w:color w:val="FF0000"/>
        </w:rPr>
        <w:t xml:space="preserve"> </w:t>
      </w:r>
      <w:r>
        <w:t xml:space="preserve">is requesting to have his supervision fees waived because he cannot currently afford to pay them, and it is unlikely that his financial circumstances will change in the near future. Mr. </w:t>
      </w:r>
      <w:r w:rsidR="004C54C0">
        <w:rPr>
          <w:color w:val="FF0000"/>
        </w:rPr>
        <w:t>Doe</w:t>
      </w:r>
      <w:r w:rsidRPr="004C54C0">
        <w:rPr>
          <w:color w:val="FF0000"/>
        </w:rPr>
        <w:t xml:space="preserve"> </w:t>
      </w:r>
      <w:r>
        <w:t>is presently on a $</w:t>
      </w:r>
      <w:r w:rsidR="004C54C0">
        <w:rPr>
          <w:color w:val="FF0000"/>
        </w:rPr>
        <w:t>X</w:t>
      </w:r>
      <w:r w:rsidR="00106B4F" w:rsidRPr="004C54C0">
        <w:rPr>
          <w:color w:val="FF0000"/>
        </w:rPr>
        <w:t xml:space="preserve"> </w:t>
      </w:r>
      <w:r w:rsidR="00106B4F">
        <w:t xml:space="preserve">per </w:t>
      </w:r>
      <w:r w:rsidR="00F94F2E">
        <w:t xml:space="preserve">month payment plan. </w:t>
      </w:r>
      <w:r w:rsidR="006309E3">
        <w:t xml:space="preserve">At </w:t>
      </w:r>
      <w:r w:rsidR="0075784F">
        <w:t xml:space="preserve">that rate, it will take him more than </w:t>
      </w:r>
      <w:commentRangeStart w:id="7"/>
      <w:r w:rsidR="00F94F2E" w:rsidRPr="004C54C0">
        <w:rPr>
          <w:color w:val="FF0000"/>
        </w:rPr>
        <w:t>eight</w:t>
      </w:r>
      <w:r w:rsidR="0075784F" w:rsidRPr="004C54C0">
        <w:rPr>
          <w:color w:val="FF0000"/>
        </w:rPr>
        <w:t xml:space="preserve"> years </w:t>
      </w:r>
      <w:commentRangeEnd w:id="7"/>
      <w:r w:rsidR="004C54C0" w:rsidRPr="004C54C0">
        <w:rPr>
          <w:rStyle w:val="CommentReference"/>
          <w:color w:val="FF0000"/>
        </w:rPr>
        <w:commentReference w:id="7"/>
      </w:r>
      <w:r w:rsidR="0075784F">
        <w:t xml:space="preserve">to pay off his other court debt, and nearly </w:t>
      </w:r>
      <w:r w:rsidR="00F94F2E" w:rsidRPr="004C54C0">
        <w:rPr>
          <w:color w:val="FF0000"/>
        </w:rPr>
        <w:t xml:space="preserve">seven </w:t>
      </w:r>
      <w:r w:rsidR="00F94F2E" w:rsidRPr="004C54C0">
        <w:rPr>
          <w:i/>
          <w:color w:val="FF0000"/>
        </w:rPr>
        <w:t>additional years</w:t>
      </w:r>
      <w:r w:rsidR="00F94F2E" w:rsidRPr="004C54C0">
        <w:rPr>
          <w:color w:val="FF0000"/>
        </w:rPr>
        <w:t xml:space="preserve"> </w:t>
      </w:r>
      <w:r w:rsidR="0075784F">
        <w:t>if he must pay all of the supervision fees</w:t>
      </w:r>
      <w:r w:rsidR="006309E3">
        <w:t xml:space="preserve">, as well. </w:t>
      </w:r>
      <w:r w:rsidR="0075784F">
        <w:t xml:space="preserve">That would draw out his obligation far past the timeframes already disfavored in </w:t>
      </w:r>
      <w:r w:rsidR="0075784F">
        <w:rPr>
          <w:i/>
        </w:rPr>
        <w:t>Stein Enterprises</w:t>
      </w:r>
      <w:r w:rsidR="0075784F">
        <w:t xml:space="preserve"> and </w:t>
      </w:r>
      <w:r w:rsidR="0075784F">
        <w:rPr>
          <w:i/>
        </w:rPr>
        <w:t>Schoepple.</w:t>
      </w:r>
      <w:r w:rsidR="006309E3">
        <w:t xml:space="preserve">  </w:t>
      </w:r>
    </w:p>
    <w:p w14:paraId="68A91710" w14:textId="2F2429C8" w:rsidR="00F77B91" w:rsidRDefault="009473BB" w:rsidP="0019582F">
      <w:pPr>
        <w:pStyle w:val="Level1"/>
        <w:numPr>
          <w:ilvl w:val="0"/>
          <w:numId w:val="3"/>
        </w:numPr>
        <w:tabs>
          <w:tab w:val="left" w:pos="720"/>
        </w:tabs>
        <w:spacing w:line="480" w:lineRule="auto"/>
        <w:ind w:hanging="720"/>
      </w:pPr>
      <w:r>
        <w:t>I</w:t>
      </w:r>
      <w:r w:rsidR="00F77B91">
        <w:t xml:space="preserve">t has been more than </w:t>
      </w:r>
      <w:r w:rsidR="00F77B91" w:rsidRPr="004C54C0">
        <w:rPr>
          <w:color w:val="FF0000"/>
        </w:rPr>
        <w:t xml:space="preserve">a decade </w:t>
      </w:r>
      <w:r w:rsidR="00F77B91">
        <w:t xml:space="preserve">since the supervision fees in this matter were imposed, and they remain unpaid because Mr. </w:t>
      </w:r>
      <w:r w:rsidR="004C54C0">
        <w:rPr>
          <w:color w:val="FF0000"/>
        </w:rPr>
        <w:t>Doe</w:t>
      </w:r>
      <w:r w:rsidR="00F77B91" w:rsidRPr="004C54C0">
        <w:rPr>
          <w:color w:val="FF0000"/>
        </w:rPr>
        <w:t xml:space="preserve"> </w:t>
      </w:r>
      <w:r w:rsidR="00F77B91">
        <w:t xml:space="preserve">has lacked the financial resources to pay them. </w:t>
      </w:r>
      <w:commentRangeStart w:id="8"/>
      <w:r w:rsidR="00F77B91">
        <w:t>While he is making an effort to put his life back together and become self-sufficient</w:t>
      </w:r>
      <w:commentRangeEnd w:id="8"/>
      <w:r w:rsidR="004C54C0">
        <w:rPr>
          <w:rStyle w:val="CommentReference"/>
        </w:rPr>
        <w:commentReference w:id="8"/>
      </w:r>
      <w:r w:rsidR="00F77B91">
        <w:t xml:space="preserve">, he presently lacks the ability to pay—the standard required by </w:t>
      </w:r>
      <w:r w:rsidR="00F77B91" w:rsidRPr="001561FB">
        <w:rPr>
          <w:rFonts w:eastAsia="Times New Roman"/>
        </w:rPr>
        <w:t>18 P.S. § 11.1102</w:t>
      </w:r>
      <w:r w:rsidR="00F77B91">
        <w:rPr>
          <w:rFonts w:eastAsia="Times New Roman"/>
        </w:rPr>
        <w:t>(c</w:t>
      </w:r>
      <w:r w:rsidR="00EF3759">
        <w:rPr>
          <w:rFonts w:eastAsia="Times New Roman"/>
        </w:rPr>
        <w:t>)</w:t>
      </w:r>
    </w:p>
    <w:p w14:paraId="7AFF39E3" w14:textId="44727E86" w:rsidR="00FA2BC4" w:rsidRDefault="00945A5B" w:rsidP="00945A5B">
      <w:pPr>
        <w:pStyle w:val="Level1"/>
        <w:tabs>
          <w:tab w:val="left" w:pos="720"/>
        </w:tabs>
        <w:spacing w:line="480" w:lineRule="auto"/>
        <w:ind w:left="0"/>
      </w:pPr>
      <w:r>
        <w:t>WHEREFORE</w:t>
      </w:r>
      <w:r w:rsidR="00F046C5">
        <w:t xml:space="preserve">, Mr. </w:t>
      </w:r>
      <w:r w:rsidR="004C54C0">
        <w:rPr>
          <w:color w:val="FF0000"/>
        </w:rPr>
        <w:t>Doe</w:t>
      </w:r>
      <w:r w:rsidR="00F046C5" w:rsidRPr="004C54C0">
        <w:rPr>
          <w:color w:val="FF0000"/>
        </w:rPr>
        <w:t xml:space="preserve"> </w:t>
      </w:r>
      <w:r w:rsidR="00806775">
        <w:t xml:space="preserve">respectfully </w:t>
      </w:r>
      <w:r w:rsidR="00F046C5">
        <w:t>requests that this Honorable Court grant his Motion</w:t>
      </w:r>
      <w:r w:rsidR="00EF3759">
        <w:t xml:space="preserve"> and waive his supervision fees in this matter</w:t>
      </w:r>
      <w:r w:rsidR="00F046C5">
        <w:t>.</w:t>
      </w:r>
    </w:p>
    <w:p w14:paraId="2C5CA690" w14:textId="77777777" w:rsidR="005223CB" w:rsidRDefault="00D07998" w:rsidP="005223CB">
      <w:pPr>
        <w:spacing w:line="480" w:lineRule="auto"/>
        <w:ind w:left="5040"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223CB" w:rsidRPr="003046D0">
        <w:rPr>
          <w:sz w:val="24"/>
          <w:szCs w:val="24"/>
        </w:rPr>
        <w:t>Respectfully submitted,</w:t>
      </w:r>
    </w:p>
    <w:p w14:paraId="3A92255B" w14:textId="77777777" w:rsidR="00945A5B" w:rsidRPr="003046D0" w:rsidRDefault="00945A5B" w:rsidP="005223CB">
      <w:pPr>
        <w:spacing w:line="480" w:lineRule="auto"/>
        <w:ind w:left="5040" w:firstLine="720"/>
        <w:rPr>
          <w:sz w:val="24"/>
          <w:szCs w:val="24"/>
        </w:rPr>
      </w:pPr>
    </w:p>
    <w:p w14:paraId="796EA7C5" w14:textId="77777777" w:rsidR="005223CB" w:rsidRPr="003046D0" w:rsidRDefault="005223CB" w:rsidP="005223CB">
      <w:pPr>
        <w:ind w:left="5040" w:firstLine="720"/>
        <w:rPr>
          <w:sz w:val="24"/>
          <w:szCs w:val="24"/>
        </w:rPr>
      </w:pPr>
      <w:r w:rsidRPr="003046D0">
        <w:rPr>
          <w:sz w:val="24"/>
          <w:szCs w:val="24"/>
        </w:rPr>
        <w:t>___________________________</w:t>
      </w:r>
    </w:p>
    <w:p w14:paraId="05B0DE26" w14:textId="625EB105" w:rsidR="005223CB" w:rsidRPr="004C54C0" w:rsidRDefault="004C54C0" w:rsidP="005223CB">
      <w:pPr>
        <w:ind w:left="5760"/>
        <w:rPr>
          <w:color w:val="FF0000"/>
          <w:sz w:val="24"/>
          <w:szCs w:val="24"/>
        </w:rPr>
      </w:pPr>
      <w:r>
        <w:rPr>
          <w:color w:val="FF0000"/>
          <w:sz w:val="24"/>
          <w:szCs w:val="24"/>
        </w:rPr>
        <w:t>[Signature block]</w:t>
      </w:r>
    </w:p>
    <w:p w14:paraId="6D470608" w14:textId="77777777" w:rsidR="005223CB" w:rsidRPr="003046D0" w:rsidRDefault="005223CB" w:rsidP="005223CB">
      <w:pPr>
        <w:ind w:left="5760"/>
        <w:rPr>
          <w:sz w:val="24"/>
          <w:szCs w:val="24"/>
        </w:rPr>
      </w:pPr>
    </w:p>
    <w:p w14:paraId="2AC53123" w14:textId="4AF752C7" w:rsidR="005223CB" w:rsidRPr="004C54C0" w:rsidRDefault="004C54C0" w:rsidP="005223CB">
      <w:pPr>
        <w:widowControl/>
        <w:autoSpaceDE/>
        <w:autoSpaceDN/>
        <w:adjustRightInd/>
        <w:spacing w:after="200" w:line="276" w:lineRule="auto"/>
        <w:rPr>
          <w:color w:val="FF0000"/>
          <w:sz w:val="24"/>
          <w:szCs w:val="24"/>
        </w:rPr>
      </w:pPr>
      <w:r>
        <w:rPr>
          <w:color w:val="FF0000"/>
          <w:sz w:val="24"/>
          <w:szCs w:val="24"/>
        </w:rPr>
        <w:t>Date</w:t>
      </w:r>
    </w:p>
    <w:p w14:paraId="69C233A3" w14:textId="665D7101" w:rsidR="004B48F7" w:rsidRDefault="005223CB" w:rsidP="00807DBF">
      <w:pPr>
        <w:widowControl/>
        <w:autoSpaceDE/>
        <w:autoSpaceDN/>
        <w:adjustRightInd/>
        <w:spacing w:after="160" w:line="259" w:lineRule="auto"/>
        <w:jc w:val="center"/>
        <w:rPr>
          <w:sz w:val="24"/>
          <w:szCs w:val="24"/>
          <w:lang w:val="en-CA"/>
        </w:rPr>
      </w:pPr>
      <w:r>
        <w:rPr>
          <w:sz w:val="24"/>
          <w:szCs w:val="24"/>
        </w:rPr>
        <w:br w:type="page"/>
      </w:r>
    </w:p>
    <w:p w14:paraId="1A64986E" w14:textId="77777777" w:rsidR="00017080" w:rsidRDefault="00017080" w:rsidP="003E6C62">
      <w:pPr>
        <w:jc w:val="center"/>
        <w:rPr>
          <w:sz w:val="24"/>
          <w:szCs w:val="24"/>
          <w:lang w:val="en-CA"/>
        </w:rPr>
        <w:sectPr w:rsidR="00017080">
          <w:footerReference w:type="default" r:id="rId10"/>
          <w:pgSz w:w="12240" w:h="15840"/>
          <w:pgMar w:top="1440" w:right="1440" w:bottom="1440" w:left="1440" w:header="720" w:footer="720" w:gutter="0"/>
          <w:cols w:space="720"/>
          <w:docGrid w:linePitch="360"/>
        </w:sectPr>
      </w:pPr>
    </w:p>
    <w:p w14:paraId="7B682F1E" w14:textId="77777777" w:rsidR="004C54C0" w:rsidRPr="00C87DDD" w:rsidRDefault="004C54C0" w:rsidP="004C54C0">
      <w:pPr>
        <w:jc w:val="center"/>
        <w:rPr>
          <w:b/>
          <w:bCs/>
          <w:sz w:val="24"/>
          <w:szCs w:val="24"/>
        </w:rPr>
      </w:pPr>
      <w:r w:rsidRPr="00C87DDD">
        <w:rPr>
          <w:sz w:val="24"/>
          <w:szCs w:val="24"/>
          <w:lang w:val="en-CA"/>
        </w:rPr>
        <w:lastRenderedPageBreak/>
        <w:fldChar w:fldCharType="begin"/>
      </w:r>
      <w:r w:rsidRPr="00C87DDD">
        <w:rPr>
          <w:sz w:val="24"/>
          <w:szCs w:val="24"/>
          <w:lang w:val="en-CA"/>
        </w:rPr>
        <w:instrText xml:space="preserve"> SEQ CHAPTER \h \r 1</w:instrText>
      </w:r>
      <w:r w:rsidRPr="00C87DDD">
        <w:rPr>
          <w:sz w:val="24"/>
          <w:szCs w:val="24"/>
          <w:lang w:val="en-CA"/>
        </w:rPr>
        <w:fldChar w:fldCharType="end"/>
      </w:r>
      <w:r w:rsidRPr="00C87DDD">
        <w:rPr>
          <w:b/>
          <w:bCs/>
          <w:sz w:val="24"/>
          <w:szCs w:val="24"/>
        </w:rPr>
        <w:t>IN THE COURT OF COMMON PLEAS</w:t>
      </w:r>
    </w:p>
    <w:p w14:paraId="66E483CA" w14:textId="77777777" w:rsidR="004C54C0" w:rsidRPr="00C87DDD" w:rsidRDefault="004C54C0" w:rsidP="004C54C0">
      <w:pPr>
        <w:jc w:val="center"/>
        <w:rPr>
          <w:b/>
          <w:bCs/>
          <w:sz w:val="24"/>
          <w:szCs w:val="24"/>
        </w:rPr>
      </w:pPr>
      <w:r w:rsidRPr="00C87DDD">
        <w:rPr>
          <w:b/>
          <w:bCs/>
          <w:sz w:val="24"/>
          <w:szCs w:val="24"/>
        </w:rPr>
        <w:t xml:space="preserve">FOR </w:t>
      </w:r>
      <w:commentRangeStart w:id="9"/>
      <w:r w:rsidRPr="001C5154">
        <w:rPr>
          <w:b/>
          <w:bCs/>
          <w:color w:val="FF0000"/>
          <w:sz w:val="24"/>
          <w:szCs w:val="24"/>
        </w:rPr>
        <w:t>COUNTY NAME</w:t>
      </w:r>
      <w:commentRangeEnd w:id="9"/>
      <w:r>
        <w:rPr>
          <w:rStyle w:val="CommentReference"/>
        </w:rPr>
        <w:commentReference w:id="9"/>
      </w:r>
    </w:p>
    <w:p w14:paraId="67A0B9D1" w14:textId="77777777" w:rsidR="004C54C0" w:rsidRPr="00C87DDD" w:rsidRDefault="004C54C0" w:rsidP="004C54C0">
      <w:pPr>
        <w:rPr>
          <w:b/>
          <w:bCs/>
          <w:sz w:val="24"/>
          <w:szCs w:val="24"/>
        </w:rPr>
      </w:pPr>
    </w:p>
    <w:p w14:paraId="1C05742C" w14:textId="77777777" w:rsidR="004C54C0" w:rsidRPr="00C87DDD" w:rsidRDefault="004C54C0" w:rsidP="004C54C0">
      <w:pPr>
        <w:jc w:val="center"/>
        <w:rPr>
          <w:b/>
          <w:bCs/>
          <w:sz w:val="24"/>
          <w:szCs w:val="24"/>
          <w:u w:val="single"/>
        </w:rPr>
      </w:pPr>
      <w:r w:rsidRPr="00C87DDD">
        <w:rPr>
          <w:b/>
          <w:bCs/>
          <w:sz w:val="24"/>
          <w:szCs w:val="24"/>
          <w:u w:val="single"/>
        </w:rPr>
        <w:t>CRIMINAL DIVISION</w:t>
      </w:r>
    </w:p>
    <w:p w14:paraId="18468F62" w14:textId="77777777" w:rsidR="004C54C0" w:rsidRPr="00C87DDD" w:rsidRDefault="004C54C0" w:rsidP="004C54C0">
      <w:pPr>
        <w:rPr>
          <w:b/>
          <w:bCs/>
          <w:sz w:val="24"/>
          <w:szCs w:val="24"/>
        </w:rPr>
      </w:pPr>
    </w:p>
    <w:p w14:paraId="65F75C72" w14:textId="77777777" w:rsidR="004C54C0" w:rsidRPr="00C87DDD" w:rsidRDefault="004C54C0" w:rsidP="004C54C0">
      <w:pPr>
        <w:rPr>
          <w:b/>
          <w:bCs/>
          <w:sz w:val="24"/>
          <w:szCs w:val="24"/>
        </w:rPr>
      </w:pPr>
      <w:r w:rsidRPr="00C87DDD">
        <w:rPr>
          <w:b/>
          <w:bCs/>
          <w:sz w:val="24"/>
          <w:szCs w:val="24"/>
        </w:rPr>
        <w:t>COMMONWEALTH OF PENNSYLVANIA</w:t>
      </w:r>
      <w:r w:rsidRPr="00C87DDD">
        <w:rPr>
          <w:b/>
          <w:bCs/>
          <w:sz w:val="24"/>
          <w:szCs w:val="24"/>
        </w:rPr>
        <w:tab/>
        <w:t>)</w:t>
      </w:r>
    </w:p>
    <w:p w14:paraId="5DA263F1" w14:textId="77777777" w:rsidR="004C54C0" w:rsidRPr="00C87DDD" w:rsidRDefault="004C54C0" w:rsidP="004C54C0">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39E10F49" w14:textId="77777777" w:rsidR="004C54C0" w:rsidRPr="00C87DDD" w:rsidRDefault="004C54C0" w:rsidP="004C54C0">
      <w:pPr>
        <w:rPr>
          <w:b/>
          <w:bCs/>
          <w:sz w:val="24"/>
          <w:szCs w:val="24"/>
        </w:rPr>
      </w:pPr>
      <w:r>
        <w:rPr>
          <w:b/>
          <w:bCs/>
          <w:sz w:val="24"/>
          <w:szCs w:val="24"/>
        </w:rPr>
        <w:tab/>
        <w:t>v.</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w:t>
      </w:r>
      <w:r>
        <w:rPr>
          <w:b/>
          <w:bCs/>
          <w:sz w:val="24"/>
          <w:szCs w:val="24"/>
        </w:rPr>
        <w:tab/>
        <w:t>Case No</w:t>
      </w:r>
      <w:r w:rsidRPr="00C87DDD">
        <w:rPr>
          <w:b/>
          <w:bCs/>
          <w:sz w:val="24"/>
          <w:szCs w:val="24"/>
        </w:rPr>
        <w:t xml:space="preserve">. </w:t>
      </w:r>
      <w:r>
        <w:rPr>
          <w:b/>
          <w:bCs/>
          <w:color w:val="FF0000"/>
          <w:sz w:val="24"/>
          <w:szCs w:val="24"/>
        </w:rPr>
        <w:t>#############</w:t>
      </w:r>
    </w:p>
    <w:p w14:paraId="0A142B3B" w14:textId="77777777" w:rsidR="004C54C0" w:rsidRPr="00C87DDD" w:rsidRDefault="004C54C0" w:rsidP="004C54C0">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r w:rsidRPr="00C87DDD">
        <w:rPr>
          <w:b/>
          <w:bCs/>
          <w:sz w:val="24"/>
          <w:szCs w:val="24"/>
        </w:rPr>
        <w:tab/>
      </w:r>
      <w:r w:rsidRPr="00C87DDD">
        <w:rPr>
          <w:b/>
          <w:bCs/>
          <w:sz w:val="24"/>
          <w:szCs w:val="24"/>
        </w:rPr>
        <w:tab/>
        <w:t xml:space="preserve">      </w:t>
      </w:r>
    </w:p>
    <w:p w14:paraId="42CB2364" w14:textId="77777777" w:rsidR="004C54C0" w:rsidRPr="00C87DDD" w:rsidRDefault="004C54C0" w:rsidP="004C54C0">
      <w:pPr>
        <w:rPr>
          <w:b/>
          <w:bCs/>
          <w:sz w:val="24"/>
          <w:szCs w:val="24"/>
        </w:rPr>
      </w:pPr>
      <w:r>
        <w:rPr>
          <w:b/>
          <w:bCs/>
          <w:color w:val="FF0000"/>
          <w:sz w:val="24"/>
          <w:szCs w:val="24"/>
        </w:rPr>
        <w:t>JOHN DOE</w:t>
      </w:r>
      <w:r>
        <w:rPr>
          <w:b/>
          <w:bCs/>
          <w:color w:val="FF0000"/>
          <w:sz w:val="24"/>
          <w:szCs w:val="24"/>
        </w:rPr>
        <w:tab/>
      </w:r>
      <w:r w:rsidRPr="00C87DDD">
        <w:rPr>
          <w:b/>
          <w:bCs/>
          <w:sz w:val="24"/>
          <w:szCs w:val="24"/>
        </w:rPr>
        <w:tab/>
      </w:r>
      <w:r w:rsidRPr="00C87DDD">
        <w:rPr>
          <w:b/>
          <w:bCs/>
          <w:sz w:val="24"/>
          <w:szCs w:val="24"/>
        </w:rPr>
        <w:tab/>
      </w:r>
      <w:r w:rsidRPr="00C87DDD">
        <w:rPr>
          <w:b/>
          <w:bCs/>
          <w:sz w:val="24"/>
          <w:szCs w:val="24"/>
        </w:rPr>
        <w:tab/>
      </w:r>
      <w:r>
        <w:rPr>
          <w:b/>
          <w:bCs/>
          <w:sz w:val="24"/>
          <w:szCs w:val="24"/>
        </w:rPr>
        <w:tab/>
      </w:r>
      <w:r>
        <w:rPr>
          <w:b/>
          <w:bCs/>
          <w:sz w:val="24"/>
          <w:szCs w:val="24"/>
        </w:rPr>
        <w:tab/>
      </w:r>
      <w:r w:rsidRPr="00C87DDD">
        <w:rPr>
          <w:b/>
          <w:bCs/>
          <w:sz w:val="24"/>
          <w:szCs w:val="24"/>
        </w:rPr>
        <w:t>)</w:t>
      </w:r>
    </w:p>
    <w:p w14:paraId="06198C92" w14:textId="77777777" w:rsidR="004C54C0" w:rsidRPr="00C87DDD" w:rsidRDefault="004C54C0" w:rsidP="004C54C0">
      <w:pPr>
        <w:rPr>
          <w:b/>
          <w:bCs/>
          <w:sz w:val="24"/>
          <w:szCs w:val="24"/>
        </w:rPr>
      </w:pP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r>
      <w:r w:rsidRPr="00C87DDD">
        <w:rPr>
          <w:b/>
          <w:bCs/>
          <w:sz w:val="24"/>
          <w:szCs w:val="24"/>
        </w:rPr>
        <w:tab/>
        <w:t>)</w:t>
      </w:r>
    </w:p>
    <w:p w14:paraId="1D327D54" w14:textId="77777777" w:rsidR="004C54C0" w:rsidRPr="00C87DDD" w:rsidRDefault="004C54C0" w:rsidP="004C54C0">
      <w:pPr>
        <w:rPr>
          <w:sz w:val="24"/>
          <w:szCs w:val="24"/>
        </w:rPr>
      </w:pPr>
      <w:r w:rsidRPr="00C87DDD">
        <w:rPr>
          <w:b/>
          <w:bCs/>
          <w:sz w:val="24"/>
          <w:szCs w:val="24"/>
        </w:rPr>
        <w:t>__________________________________________)</w:t>
      </w:r>
    </w:p>
    <w:p w14:paraId="71F0D35A" w14:textId="18E0995C" w:rsidR="005115EC" w:rsidRDefault="005115EC" w:rsidP="005115EC">
      <w:pPr>
        <w:tabs>
          <w:tab w:val="left" w:pos="6825"/>
        </w:tabs>
        <w:rPr>
          <w:b/>
          <w:bCs/>
          <w:sz w:val="24"/>
          <w:szCs w:val="24"/>
        </w:rPr>
      </w:pPr>
      <w:r>
        <w:rPr>
          <w:b/>
          <w:bCs/>
          <w:sz w:val="24"/>
          <w:szCs w:val="24"/>
        </w:rPr>
        <w:tab/>
      </w:r>
    </w:p>
    <w:p w14:paraId="3EE90BEC" w14:textId="77777777" w:rsidR="005115EC" w:rsidRPr="00C87DDD" w:rsidRDefault="005115EC" w:rsidP="005115EC">
      <w:pPr>
        <w:tabs>
          <w:tab w:val="left" w:pos="6825"/>
        </w:tabs>
        <w:rPr>
          <w:sz w:val="24"/>
          <w:szCs w:val="24"/>
        </w:rPr>
      </w:pPr>
      <w:r>
        <w:rPr>
          <w:sz w:val="24"/>
          <w:szCs w:val="24"/>
        </w:rPr>
        <w:tab/>
      </w:r>
    </w:p>
    <w:p w14:paraId="3E90341E" w14:textId="77777777" w:rsidR="00D07998" w:rsidRDefault="00D07998" w:rsidP="00D07998">
      <w:pPr>
        <w:numPr>
          <w:ilvl w:val="12"/>
          <w:numId w:val="0"/>
        </w:numPr>
        <w:rPr>
          <w:sz w:val="24"/>
          <w:szCs w:val="24"/>
        </w:rPr>
      </w:pPr>
    </w:p>
    <w:p w14:paraId="3D2C262F" w14:textId="08191E86" w:rsidR="00FA2BC4" w:rsidRDefault="00D07998" w:rsidP="00D07998">
      <w:pPr>
        <w:spacing w:line="480" w:lineRule="auto"/>
        <w:rPr>
          <w:sz w:val="24"/>
          <w:szCs w:val="24"/>
        </w:rPr>
      </w:pPr>
      <w:r>
        <w:rPr>
          <w:sz w:val="24"/>
          <w:szCs w:val="24"/>
        </w:rPr>
        <w:tab/>
        <w:t xml:space="preserve">Upon consideration of the </w:t>
      </w:r>
      <w:r w:rsidR="004B48F7">
        <w:rPr>
          <w:sz w:val="24"/>
          <w:szCs w:val="24"/>
        </w:rPr>
        <w:t>Defendant’s Motion</w:t>
      </w:r>
      <w:r>
        <w:rPr>
          <w:sz w:val="24"/>
          <w:szCs w:val="24"/>
        </w:rPr>
        <w:t xml:space="preserve"> in the above-captioned case, and</w:t>
      </w:r>
      <w:r w:rsidR="004B48F7">
        <w:rPr>
          <w:sz w:val="24"/>
          <w:szCs w:val="24"/>
        </w:rPr>
        <w:t xml:space="preserve"> upon consideration of the record and exhibits filed thereof, </w:t>
      </w:r>
      <w:r>
        <w:rPr>
          <w:sz w:val="24"/>
          <w:szCs w:val="24"/>
        </w:rPr>
        <w:t xml:space="preserve">it is on </w:t>
      </w:r>
      <w:r w:rsidRPr="009D1C72">
        <w:rPr>
          <w:sz w:val="24"/>
          <w:szCs w:val="24"/>
        </w:rPr>
        <w:t xml:space="preserve">this ____ day of </w:t>
      </w:r>
      <w:r w:rsidR="005115EC" w:rsidRPr="009D1C72">
        <w:rPr>
          <w:sz w:val="24"/>
          <w:szCs w:val="24"/>
        </w:rPr>
        <w:t>____________</w:t>
      </w:r>
      <w:r w:rsidRPr="009D1C72">
        <w:rPr>
          <w:sz w:val="24"/>
          <w:szCs w:val="24"/>
        </w:rPr>
        <w:t xml:space="preserve">, </w:t>
      </w:r>
      <w:r w:rsidRPr="004C54C0">
        <w:rPr>
          <w:color w:val="FF0000"/>
          <w:sz w:val="24"/>
          <w:szCs w:val="24"/>
        </w:rPr>
        <w:t>2017</w:t>
      </w:r>
      <w:r w:rsidRPr="009D1C72">
        <w:rPr>
          <w:sz w:val="24"/>
          <w:szCs w:val="24"/>
        </w:rPr>
        <w:t>,</w:t>
      </w:r>
      <w:r>
        <w:rPr>
          <w:sz w:val="24"/>
          <w:szCs w:val="24"/>
        </w:rPr>
        <w:t xml:space="preserve"> ORDERED that</w:t>
      </w:r>
      <w:r w:rsidR="004B48F7">
        <w:rPr>
          <w:sz w:val="24"/>
          <w:szCs w:val="24"/>
        </w:rPr>
        <w:t>:</w:t>
      </w:r>
    </w:p>
    <w:p w14:paraId="5FA0452D" w14:textId="7BA77485" w:rsidR="00137279" w:rsidRPr="004B48F7" w:rsidRDefault="004B48F7" w:rsidP="00EF3759">
      <w:pPr>
        <w:pStyle w:val="ListParagraph"/>
        <w:numPr>
          <w:ilvl w:val="0"/>
          <w:numId w:val="5"/>
        </w:numPr>
        <w:spacing w:line="480" w:lineRule="auto"/>
        <w:rPr>
          <w:sz w:val="24"/>
          <w:szCs w:val="24"/>
        </w:rPr>
      </w:pPr>
      <w:r>
        <w:rPr>
          <w:sz w:val="24"/>
          <w:szCs w:val="24"/>
        </w:rPr>
        <w:t xml:space="preserve">The Defendant’s </w:t>
      </w:r>
      <w:r w:rsidR="00EF3759">
        <w:rPr>
          <w:sz w:val="24"/>
          <w:szCs w:val="24"/>
        </w:rPr>
        <w:t>supervision fees in this matter are hereby WAIVED.</w:t>
      </w:r>
    </w:p>
    <w:p w14:paraId="228AC643" w14:textId="77777777" w:rsidR="00D07998" w:rsidRDefault="00D07998" w:rsidP="00D07998">
      <w:pPr>
        <w:spacing w:line="480" w:lineRule="auto"/>
        <w:rPr>
          <w:sz w:val="24"/>
          <w:szCs w:val="24"/>
        </w:rPr>
      </w:pPr>
    </w:p>
    <w:p w14:paraId="40E4B5EE" w14:textId="77777777" w:rsidR="00D07998" w:rsidRDefault="00D07998" w:rsidP="0068386D">
      <w:pPr>
        <w:spacing w:line="480" w:lineRule="auto"/>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BY THE COURT:</w:t>
      </w:r>
    </w:p>
    <w:p w14:paraId="21245124" w14:textId="77777777" w:rsidR="00D07998" w:rsidRDefault="00D07998" w:rsidP="00D0799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9499837" w14:textId="77777777" w:rsidR="00D07998" w:rsidRDefault="00D07998" w:rsidP="00D07998">
      <w:pPr>
        <w:numPr>
          <w:ilvl w:val="12"/>
          <w:numId w:val="0"/>
        </w:numPr>
        <w:ind w:left="4320"/>
        <w:rPr>
          <w:sz w:val="24"/>
          <w:szCs w:val="24"/>
        </w:rPr>
      </w:pPr>
      <w:r>
        <w:rPr>
          <w:sz w:val="24"/>
          <w:szCs w:val="24"/>
        </w:rPr>
        <w:t>______________________________________</w:t>
      </w:r>
    </w:p>
    <w:p w14:paraId="67612A0E" w14:textId="77777777" w:rsidR="00D07998" w:rsidRDefault="00D07998" w:rsidP="0068386D">
      <w:pPr>
        <w:numPr>
          <w:ilvl w:val="12"/>
          <w:numId w:val="0"/>
        </w:numPr>
        <w:ind w:left="3600" w:firstLine="720"/>
        <w:outlineLvl w:val="0"/>
      </w:pPr>
      <w:r>
        <w:rPr>
          <w:sz w:val="24"/>
          <w:szCs w:val="24"/>
        </w:rPr>
        <w:t>Judge, Court of Common Pleas</w:t>
      </w:r>
    </w:p>
    <w:p w14:paraId="2D998ECE" w14:textId="09E70446" w:rsidR="00A37D55" w:rsidRPr="00A37D55" w:rsidRDefault="00A37D55" w:rsidP="00507AEF">
      <w:pPr>
        <w:widowControl/>
        <w:autoSpaceDE/>
        <w:autoSpaceDN/>
        <w:adjustRightInd/>
        <w:spacing w:after="160" w:line="259" w:lineRule="auto"/>
        <w:rPr>
          <w:sz w:val="24"/>
          <w:szCs w:val="24"/>
        </w:rPr>
      </w:pPr>
    </w:p>
    <w:sectPr w:rsidR="00A37D55" w:rsidRPr="00A37D55" w:rsidSect="00017080">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6985DCFC" w14:textId="77777777" w:rsidR="009A00F3" w:rsidRDefault="009A00F3" w:rsidP="009A00F3">
      <w:pPr>
        <w:pStyle w:val="CommentText"/>
      </w:pPr>
      <w:r>
        <w:rPr>
          <w:rStyle w:val="CommentReference"/>
        </w:rPr>
        <w:annotationRef/>
      </w:r>
      <w:r>
        <w:t>Always change the county name at the top. For example, It should read “…FOR LANCASTER COUNTY” or “…FOR CAMBRIA COUNTY” etc.</w:t>
      </w:r>
    </w:p>
  </w:comment>
  <w:comment w:id="1" w:author="Andrew" w:date="2018-03-29T07:47:00Z" w:initials="AC">
    <w:p w14:paraId="54C1996D" w14:textId="4046A4A5" w:rsidR="009A00F3" w:rsidRDefault="009A00F3">
      <w:pPr>
        <w:pStyle w:val="CommentText"/>
      </w:pPr>
      <w:r>
        <w:rPr>
          <w:rStyle w:val="CommentReference"/>
        </w:rPr>
        <w:annotationRef/>
      </w:r>
      <w:r>
        <w:t>This Memo is specifically directed to courts like Philadelphia that use a standardized form to waive supervision fees. Philadelphia’s form is available on the ACLU-PA’s website (and it can be tailored for other courts</w:t>
      </w:r>
      <w:r w:rsidR="00CA2B39">
        <w:t>).</w:t>
      </w:r>
    </w:p>
  </w:comment>
  <w:comment w:id="2" w:author="Andrew" w:date="2018-03-29T07:49:00Z" w:initials="AC">
    <w:p w14:paraId="52BCEEE2" w14:textId="2D17965D" w:rsidR="009A00F3" w:rsidRDefault="009A00F3">
      <w:pPr>
        <w:pStyle w:val="CommentText"/>
      </w:pPr>
      <w:r>
        <w:rPr>
          <w:rStyle w:val="CommentReference"/>
        </w:rPr>
        <w:annotationRef/>
      </w:r>
      <w:r>
        <w:t>Add</w:t>
      </w:r>
      <w:r w:rsidR="00B80465">
        <w:t xml:space="preserve"> together</w:t>
      </w:r>
      <w:r>
        <w:t xml:space="preserve"> all of the supervision fees across all dockets. </w:t>
      </w:r>
    </w:p>
  </w:comment>
  <w:comment w:id="3" w:author="Andrew" w:date="2018-03-29T07:49:00Z" w:initials="AC">
    <w:p w14:paraId="2167D61D" w14:textId="44516404" w:rsidR="004C54C0" w:rsidRDefault="004C54C0">
      <w:pPr>
        <w:pStyle w:val="CommentText"/>
      </w:pPr>
      <w:r>
        <w:rPr>
          <w:rStyle w:val="CommentReference"/>
        </w:rPr>
        <w:annotationRef/>
      </w:r>
      <w:r>
        <w:t xml:space="preserve">This presumes that you have no ability to pay. Tailor the basic facts to match your own case. Look at the other templates and ACLU-PA guides for some suggestions. </w:t>
      </w:r>
    </w:p>
    <w:p w14:paraId="0176D5AF" w14:textId="1B2B5F36" w:rsidR="004723ED" w:rsidRDefault="004723ED">
      <w:pPr>
        <w:pStyle w:val="CommentText"/>
      </w:pPr>
    </w:p>
    <w:p w14:paraId="69F05416" w14:textId="14CF059B" w:rsidR="004723ED" w:rsidRDefault="004723ED">
      <w:pPr>
        <w:pStyle w:val="CommentText"/>
      </w:pPr>
      <w:r>
        <w:t>Alternatively, you can also specify the facts in this memo that you intend to show at the hearing.</w:t>
      </w:r>
      <w:bookmarkStart w:id="4" w:name="_GoBack"/>
      <w:bookmarkEnd w:id="4"/>
    </w:p>
  </w:comment>
  <w:comment w:id="5" w:author="Andrew" w:date="2018-03-29T07:51:00Z" w:initials="AC">
    <w:p w14:paraId="03BF7221" w14:textId="11BFF792" w:rsidR="004C54C0" w:rsidRPr="004C54C0" w:rsidRDefault="004C54C0">
      <w:pPr>
        <w:pStyle w:val="CommentText"/>
      </w:pPr>
      <w:r>
        <w:rPr>
          <w:rStyle w:val="CommentReference"/>
        </w:rPr>
        <w:annotationRef/>
      </w:r>
      <w:r>
        <w:t xml:space="preserve">This presumes that you have </w:t>
      </w:r>
      <w:r>
        <w:rPr>
          <w:i/>
        </w:rPr>
        <w:t>some</w:t>
      </w:r>
      <w:r>
        <w:t xml:space="preserve"> money. If not, change it to reflect that you are unemployed, perhaps waiting to receive a decision on a Social Security application, etc. </w:t>
      </w:r>
    </w:p>
  </w:comment>
  <w:comment w:id="6" w:author="Andrew" w:date="2018-03-29T07:53:00Z" w:initials="AC">
    <w:p w14:paraId="0C895A4F" w14:textId="311A0240" w:rsidR="004C54C0" w:rsidRPr="004C54C0" w:rsidRDefault="004C54C0">
      <w:pPr>
        <w:pStyle w:val="CommentText"/>
        <w:rPr>
          <w:i/>
        </w:rPr>
      </w:pPr>
      <w:r>
        <w:rPr>
          <w:rStyle w:val="CommentReference"/>
        </w:rPr>
        <w:annotationRef/>
      </w:r>
      <w:r>
        <w:t xml:space="preserve">This paragraph addresses the issue that you may not have money to pay now, but perhaps you will in the future. It is all about the present ability to pay. </w:t>
      </w:r>
    </w:p>
  </w:comment>
  <w:comment w:id="7" w:author="Andrew" w:date="2018-03-29T07:54:00Z" w:initials="AC">
    <w:p w14:paraId="7F92C3CD" w14:textId="4A9EAA86" w:rsidR="004C54C0" w:rsidRDefault="004C54C0">
      <w:pPr>
        <w:pStyle w:val="CommentText"/>
      </w:pPr>
      <w:r>
        <w:rPr>
          <w:rStyle w:val="CommentReference"/>
        </w:rPr>
        <w:annotationRef/>
      </w:r>
      <w:r>
        <w:t xml:space="preserve">Assuming you are on some sort of payment plan, figure out how long it will take to pay off the supervision fees – is that longer than the timeframes approved of in the prior paragraph? </w:t>
      </w:r>
    </w:p>
  </w:comment>
  <w:comment w:id="8" w:author="Andrew" w:date="2018-03-29T07:55:00Z" w:initials="AC">
    <w:p w14:paraId="4400A0C9" w14:textId="13297943" w:rsidR="004C54C0" w:rsidRDefault="004C54C0">
      <w:pPr>
        <w:pStyle w:val="CommentText"/>
      </w:pPr>
      <w:r>
        <w:rPr>
          <w:rStyle w:val="CommentReference"/>
        </w:rPr>
        <w:annotationRef/>
      </w:r>
      <w:r>
        <w:t xml:space="preserve">Assuming that there is evidence to support this. </w:t>
      </w:r>
    </w:p>
  </w:comment>
  <w:comment w:id="9" w:author="Author" w:initials="A">
    <w:p w14:paraId="34FED383" w14:textId="403D0746" w:rsidR="004C54C0" w:rsidRDefault="004C54C0" w:rsidP="004C54C0">
      <w:pPr>
        <w:pStyle w:val="CommentText"/>
      </w:pPr>
      <w:r>
        <w:rPr>
          <w:rStyle w:val="CommentReference"/>
        </w:rPr>
        <w:annotationRef/>
      </w:r>
      <w:r>
        <w:t>Match the caption info from the memo.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85DCFC" w15:done="0"/>
  <w15:commentEx w15:paraId="54C1996D" w15:done="0"/>
  <w15:commentEx w15:paraId="52BCEEE2" w15:done="0"/>
  <w15:commentEx w15:paraId="69F05416" w15:done="0"/>
  <w15:commentEx w15:paraId="03BF7221" w15:done="0"/>
  <w15:commentEx w15:paraId="0C895A4F" w15:done="0"/>
  <w15:commentEx w15:paraId="7F92C3CD" w15:done="0"/>
  <w15:commentEx w15:paraId="4400A0C9" w15:done="0"/>
  <w15:commentEx w15:paraId="34FED3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792907" w16cid:durableId="1D9B7F48"/>
  <w16cid:commentId w16cid:paraId="0F3A375F" w16cid:durableId="1D9B7F1D"/>
  <w16cid:commentId w16cid:paraId="6C1766D9" w16cid:durableId="1D9B7E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7246B" w14:textId="77777777" w:rsidR="00667683" w:rsidRDefault="00667683" w:rsidP="0019582F">
      <w:r>
        <w:separator/>
      </w:r>
    </w:p>
  </w:endnote>
  <w:endnote w:type="continuationSeparator" w:id="0">
    <w:p w14:paraId="39956360" w14:textId="77777777" w:rsidR="00667683" w:rsidRDefault="00667683" w:rsidP="0019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550196"/>
      <w:docPartObj>
        <w:docPartGallery w:val="Page Numbers (Bottom of Page)"/>
        <w:docPartUnique/>
      </w:docPartObj>
    </w:sdtPr>
    <w:sdtEndPr>
      <w:rPr>
        <w:noProof/>
        <w:sz w:val="24"/>
      </w:rPr>
    </w:sdtEndPr>
    <w:sdtContent>
      <w:p w14:paraId="19ED837C" w14:textId="681D7A8D" w:rsidR="00F77B91" w:rsidRPr="00017080" w:rsidRDefault="00F77B91">
        <w:pPr>
          <w:pStyle w:val="Footer"/>
          <w:jc w:val="center"/>
          <w:rPr>
            <w:sz w:val="24"/>
          </w:rPr>
        </w:pPr>
        <w:r w:rsidRPr="00017080">
          <w:rPr>
            <w:sz w:val="24"/>
          </w:rPr>
          <w:fldChar w:fldCharType="begin"/>
        </w:r>
        <w:r w:rsidRPr="00017080">
          <w:rPr>
            <w:sz w:val="24"/>
          </w:rPr>
          <w:instrText xml:space="preserve"> PAGE   \* MERGEFORMAT </w:instrText>
        </w:r>
        <w:r w:rsidRPr="00017080">
          <w:rPr>
            <w:sz w:val="24"/>
          </w:rPr>
          <w:fldChar w:fldCharType="separate"/>
        </w:r>
        <w:r w:rsidR="004723ED">
          <w:rPr>
            <w:noProof/>
            <w:sz w:val="24"/>
          </w:rPr>
          <w:t>2</w:t>
        </w:r>
        <w:r w:rsidRPr="00017080">
          <w:rPr>
            <w:noProof/>
            <w:sz w:val="24"/>
          </w:rPr>
          <w:fldChar w:fldCharType="end"/>
        </w:r>
      </w:p>
    </w:sdtContent>
  </w:sdt>
  <w:p w14:paraId="3F77085D" w14:textId="77777777" w:rsidR="00F77B91" w:rsidRDefault="00F77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DDF7" w14:textId="1503775E" w:rsidR="00F77B91" w:rsidRPr="00017080" w:rsidRDefault="00F77B91">
    <w:pPr>
      <w:pStyle w:val="Footer"/>
      <w:jc w:val="center"/>
      <w:rPr>
        <w:sz w:val="24"/>
      </w:rPr>
    </w:pPr>
  </w:p>
  <w:p w14:paraId="54461EC7" w14:textId="77777777" w:rsidR="00F77B91" w:rsidRDefault="00F7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BAAC" w14:textId="77777777" w:rsidR="00667683" w:rsidRDefault="00667683" w:rsidP="0019582F">
      <w:r>
        <w:separator/>
      </w:r>
    </w:p>
  </w:footnote>
  <w:footnote w:type="continuationSeparator" w:id="0">
    <w:p w14:paraId="7EB589F0" w14:textId="77777777" w:rsidR="00667683" w:rsidRDefault="00667683" w:rsidP="0019582F">
      <w:r>
        <w:continuationSeparator/>
      </w:r>
    </w:p>
  </w:footnote>
  <w:footnote w:id="1">
    <w:p w14:paraId="7F8F34E4" w14:textId="32712B2D" w:rsidR="00F77B91" w:rsidRDefault="00F77B91" w:rsidP="00724DCC">
      <w:pPr>
        <w:pStyle w:val="FootnoteText"/>
        <w:rPr>
          <w:rFonts w:eastAsia="Times New Roman" w:cs="Times New Roman"/>
          <w:szCs w:val="24"/>
        </w:rPr>
      </w:pPr>
      <w:r>
        <w:rPr>
          <w:rStyle w:val="FootnoteReference"/>
        </w:rPr>
        <w:footnoteRef/>
      </w:r>
      <w:r>
        <w:t xml:space="preserve"> The Superior Court has instructed that trial courts should look to the “established processes for assessing indigency” through the in forma pauperis (“IFP”) standards when determining whether certain costs should be waived in criminal cases. </w:t>
      </w:r>
      <w:r>
        <w:rPr>
          <w:i/>
        </w:rPr>
        <w:t>Commonwealth v. Cannon</w:t>
      </w:r>
      <w:r>
        <w:t>, 954 A.2d 1222, 1226 (Pa. Super. Ct. 2008) (using the IFP standards and the appointment of counsel standards to determine whether to waive the cost of an expert in a criminal case, although the defendant failed to provide evidence of indigency)</w:t>
      </w:r>
      <w:r>
        <w:rPr>
          <w:i/>
        </w:rPr>
        <w:t>; see also Commonwealth v. Mead</w:t>
      </w:r>
      <w:r>
        <w:t xml:space="preserve">, 446 A.2d 971, 974 (Pa. Super. Ct. 1982) (reviewing IFP application and petition for appointment of counsel to help determine financial status when setting a fine). This is because of the </w:t>
      </w:r>
      <w:r>
        <w:rPr>
          <w:rFonts w:eastAsia="Times New Roman" w:cs="Times New Roman"/>
          <w:szCs w:val="24"/>
        </w:rPr>
        <w:t xml:space="preserve">“dearth of case law” in criminal cases, compared with the “well-established principles governing indigency in civil cases.” </w:t>
      </w:r>
      <w:r>
        <w:rPr>
          <w:rFonts w:eastAsia="Times New Roman" w:cs="Times New Roman"/>
          <w:i/>
          <w:szCs w:val="24"/>
        </w:rPr>
        <w:t>Commonwealth v. Lepre</w:t>
      </w:r>
      <w:r>
        <w:rPr>
          <w:rFonts w:eastAsia="Times New Roman" w:cs="Times New Roman"/>
          <w:szCs w:val="24"/>
        </w:rPr>
        <w:t xml:space="preserve">, 18 A.3d 1225, 1226 (Pa. Super. Ct. 2011) (applying IFP standards to waive appeal costs). These same principles should be used to determine whether a defendant is able to pay under Rule 706, as indigence is indigence. </w:t>
      </w:r>
    </w:p>
    <w:p w14:paraId="33ED1434" w14:textId="77777777" w:rsidR="00F77B91" w:rsidRDefault="00F77B91" w:rsidP="00724DCC">
      <w:pPr>
        <w:pStyle w:val="FootnoteText"/>
        <w:rPr>
          <w:rFonts w:eastAsia="Times New Roman" w:cs="Times New Roman"/>
          <w:szCs w:val="24"/>
        </w:rPr>
      </w:pPr>
    </w:p>
    <w:p w14:paraId="292CCEA8" w14:textId="77777777" w:rsidR="00F77B91" w:rsidRDefault="00F77B91" w:rsidP="00724DCC">
      <w:pPr>
        <w:pStyle w:val="FootnoteText"/>
      </w:pPr>
      <w:r>
        <w:t xml:space="preserve">Pennsylvania courts use “poverty” and “indigent” interchangeably, and there is no legal distinction between the two terms. </w:t>
      </w:r>
      <w:r>
        <w:rPr>
          <w:i/>
        </w:rPr>
        <w:t>See</w:t>
      </w:r>
      <w:r>
        <w:t xml:space="preserve">, </w:t>
      </w:r>
      <w:r>
        <w:rPr>
          <w:i/>
        </w:rPr>
        <w:t>e.g.</w:t>
      </w:r>
      <w:r>
        <w:t xml:space="preserve">, </w:t>
      </w:r>
      <w:r>
        <w:rPr>
          <w:rStyle w:val="cohighlightpoints"/>
          <w:i/>
        </w:rPr>
        <w:t>Commonwealth v. Hernandez</w:t>
      </w:r>
      <w:r>
        <w:rPr>
          <w:rStyle w:val="cohighlightpoints"/>
        </w:rPr>
        <w:t>, 917 A.2d 332 (Pa. Super. Ct. 2007);</w:t>
      </w:r>
      <w:r>
        <w:t xml:space="preserve"> </w:t>
      </w:r>
      <w:r w:rsidRPr="00667804">
        <w:rPr>
          <w:rFonts w:eastAsia="Times New Roman" w:cs="Times New Roman"/>
          <w:i/>
          <w:szCs w:val="24"/>
        </w:rPr>
        <w:t>Crosby Square Apartments v. Henson</w:t>
      </w:r>
      <w:r>
        <w:rPr>
          <w:rFonts w:eastAsia="Times New Roman" w:cs="Times New Roman"/>
          <w:szCs w:val="24"/>
        </w:rPr>
        <w:t xml:space="preserve">, 666 A.2d 737 (Pa. Super. Ct. 1995); </w:t>
      </w:r>
      <w:r>
        <w:rPr>
          <w:i/>
        </w:rPr>
        <w:t>Commonwealth v. Regan</w:t>
      </w:r>
      <w:r>
        <w:t>, 359 A.2d 403 (Pa. Super. Ct. 1976). Accordingly, cases that set forth standards for determining whether an individual is in poverty are equally applicable to the inquiry under Rule 706 of whether a defendant is indigent.</w:t>
      </w:r>
    </w:p>
    <w:p w14:paraId="3700CC9D" w14:textId="77777777" w:rsidR="00F77B91" w:rsidRDefault="00F77B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3FE"/>
    <w:multiLevelType w:val="hybridMultilevel"/>
    <w:tmpl w:val="F64A2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448D8"/>
    <w:multiLevelType w:val="hybridMultilevel"/>
    <w:tmpl w:val="E3A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C30D7"/>
    <w:multiLevelType w:val="multilevel"/>
    <w:tmpl w:val="B58C5D1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15:restartNumberingAfterBreak="0">
    <w:nsid w:val="4C8018A3"/>
    <w:multiLevelType w:val="hybridMultilevel"/>
    <w:tmpl w:val="9DA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A15919"/>
    <w:multiLevelType w:val="hybridMultilevel"/>
    <w:tmpl w:val="65E2F398"/>
    <w:lvl w:ilvl="0" w:tplc="76A057C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w15:presenceInfo w15:providerId="None" w15:userId="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2F"/>
    <w:rsid w:val="00017080"/>
    <w:rsid w:val="00027009"/>
    <w:rsid w:val="00043090"/>
    <w:rsid w:val="00052217"/>
    <w:rsid w:val="000565CD"/>
    <w:rsid w:val="000A4495"/>
    <w:rsid w:val="000A7F73"/>
    <w:rsid w:val="000B4BB9"/>
    <w:rsid w:val="000C24EF"/>
    <w:rsid w:val="000C4C5A"/>
    <w:rsid w:val="000C514E"/>
    <w:rsid w:val="000E03A9"/>
    <w:rsid w:val="00104451"/>
    <w:rsid w:val="00106B4F"/>
    <w:rsid w:val="00115AFC"/>
    <w:rsid w:val="00137279"/>
    <w:rsid w:val="001461C6"/>
    <w:rsid w:val="001561FB"/>
    <w:rsid w:val="0018232B"/>
    <w:rsid w:val="00186EEB"/>
    <w:rsid w:val="0019582F"/>
    <w:rsid w:val="001A086C"/>
    <w:rsid w:val="001A6B25"/>
    <w:rsid w:val="001B4FE9"/>
    <w:rsid w:val="002003A8"/>
    <w:rsid w:val="002006BC"/>
    <w:rsid w:val="00204DA0"/>
    <w:rsid w:val="00274959"/>
    <w:rsid w:val="002759EB"/>
    <w:rsid w:val="002B6393"/>
    <w:rsid w:val="00300EDE"/>
    <w:rsid w:val="003028EC"/>
    <w:rsid w:val="00330E2B"/>
    <w:rsid w:val="00343854"/>
    <w:rsid w:val="00347218"/>
    <w:rsid w:val="00354276"/>
    <w:rsid w:val="00382895"/>
    <w:rsid w:val="003C1ACB"/>
    <w:rsid w:val="003E6C62"/>
    <w:rsid w:val="003F01CF"/>
    <w:rsid w:val="003F20CB"/>
    <w:rsid w:val="00405A3E"/>
    <w:rsid w:val="00410947"/>
    <w:rsid w:val="00414F0B"/>
    <w:rsid w:val="00422D6D"/>
    <w:rsid w:val="004402BC"/>
    <w:rsid w:val="00446123"/>
    <w:rsid w:val="004529F2"/>
    <w:rsid w:val="00465AA1"/>
    <w:rsid w:val="004723ED"/>
    <w:rsid w:val="004845F9"/>
    <w:rsid w:val="004A5010"/>
    <w:rsid w:val="004B48F7"/>
    <w:rsid w:val="004C54C0"/>
    <w:rsid w:val="004D3488"/>
    <w:rsid w:val="00507AEF"/>
    <w:rsid w:val="005115EC"/>
    <w:rsid w:val="005223CB"/>
    <w:rsid w:val="00530DB2"/>
    <w:rsid w:val="00553107"/>
    <w:rsid w:val="0055365F"/>
    <w:rsid w:val="00571917"/>
    <w:rsid w:val="00597ABB"/>
    <w:rsid w:val="005B6FD0"/>
    <w:rsid w:val="005B732A"/>
    <w:rsid w:val="005D297E"/>
    <w:rsid w:val="006309E3"/>
    <w:rsid w:val="006360A7"/>
    <w:rsid w:val="006378A3"/>
    <w:rsid w:val="00667683"/>
    <w:rsid w:val="0068386D"/>
    <w:rsid w:val="00683E9E"/>
    <w:rsid w:val="006A029D"/>
    <w:rsid w:val="006C5E7A"/>
    <w:rsid w:val="006D14E3"/>
    <w:rsid w:val="006E433F"/>
    <w:rsid w:val="006F1664"/>
    <w:rsid w:val="00714A92"/>
    <w:rsid w:val="00724DCC"/>
    <w:rsid w:val="0073511D"/>
    <w:rsid w:val="007461E7"/>
    <w:rsid w:val="0075784F"/>
    <w:rsid w:val="0076270E"/>
    <w:rsid w:val="00772BD7"/>
    <w:rsid w:val="0078275E"/>
    <w:rsid w:val="00793625"/>
    <w:rsid w:val="00806775"/>
    <w:rsid w:val="00807858"/>
    <w:rsid w:val="00807DBF"/>
    <w:rsid w:val="008503C2"/>
    <w:rsid w:val="008620B4"/>
    <w:rsid w:val="00864071"/>
    <w:rsid w:val="008646EE"/>
    <w:rsid w:val="00867786"/>
    <w:rsid w:val="0088277B"/>
    <w:rsid w:val="008C6D28"/>
    <w:rsid w:val="008D3652"/>
    <w:rsid w:val="008E5E10"/>
    <w:rsid w:val="008F4B1B"/>
    <w:rsid w:val="0091083F"/>
    <w:rsid w:val="009258AD"/>
    <w:rsid w:val="00945A5B"/>
    <w:rsid w:val="009473BB"/>
    <w:rsid w:val="009809D9"/>
    <w:rsid w:val="0099487F"/>
    <w:rsid w:val="009A00F3"/>
    <w:rsid w:val="009D1C72"/>
    <w:rsid w:val="009E382F"/>
    <w:rsid w:val="00A23048"/>
    <w:rsid w:val="00A37D55"/>
    <w:rsid w:val="00A64863"/>
    <w:rsid w:val="00A733FA"/>
    <w:rsid w:val="00A9223F"/>
    <w:rsid w:val="00A92E40"/>
    <w:rsid w:val="00AB77DA"/>
    <w:rsid w:val="00AC6C58"/>
    <w:rsid w:val="00AD1213"/>
    <w:rsid w:val="00AD5508"/>
    <w:rsid w:val="00AD6EF8"/>
    <w:rsid w:val="00AE5BAB"/>
    <w:rsid w:val="00AE622E"/>
    <w:rsid w:val="00B011EA"/>
    <w:rsid w:val="00B03CAC"/>
    <w:rsid w:val="00B242EB"/>
    <w:rsid w:val="00B45EBE"/>
    <w:rsid w:val="00B702FB"/>
    <w:rsid w:val="00B80465"/>
    <w:rsid w:val="00B81071"/>
    <w:rsid w:val="00B82557"/>
    <w:rsid w:val="00BA1650"/>
    <w:rsid w:val="00BF1EDA"/>
    <w:rsid w:val="00BF3317"/>
    <w:rsid w:val="00C05BD8"/>
    <w:rsid w:val="00C21A5F"/>
    <w:rsid w:val="00C261CB"/>
    <w:rsid w:val="00C72CCD"/>
    <w:rsid w:val="00C77E3B"/>
    <w:rsid w:val="00C8450F"/>
    <w:rsid w:val="00CA103D"/>
    <w:rsid w:val="00CA2B39"/>
    <w:rsid w:val="00CA5B16"/>
    <w:rsid w:val="00CB12BC"/>
    <w:rsid w:val="00CC1483"/>
    <w:rsid w:val="00CF4A85"/>
    <w:rsid w:val="00D03BF6"/>
    <w:rsid w:val="00D07998"/>
    <w:rsid w:val="00D13E32"/>
    <w:rsid w:val="00D273C7"/>
    <w:rsid w:val="00D51905"/>
    <w:rsid w:val="00D562E7"/>
    <w:rsid w:val="00D77667"/>
    <w:rsid w:val="00D8593E"/>
    <w:rsid w:val="00DB6F55"/>
    <w:rsid w:val="00DE4D28"/>
    <w:rsid w:val="00DF1BDF"/>
    <w:rsid w:val="00DF7D00"/>
    <w:rsid w:val="00E05769"/>
    <w:rsid w:val="00E06BAB"/>
    <w:rsid w:val="00E1331F"/>
    <w:rsid w:val="00E15A63"/>
    <w:rsid w:val="00E16EE6"/>
    <w:rsid w:val="00E21C14"/>
    <w:rsid w:val="00E73338"/>
    <w:rsid w:val="00EA2604"/>
    <w:rsid w:val="00EA4BAA"/>
    <w:rsid w:val="00ED2995"/>
    <w:rsid w:val="00EF3759"/>
    <w:rsid w:val="00EF4BDE"/>
    <w:rsid w:val="00F046C5"/>
    <w:rsid w:val="00F263A9"/>
    <w:rsid w:val="00F267D1"/>
    <w:rsid w:val="00F325CC"/>
    <w:rsid w:val="00F36332"/>
    <w:rsid w:val="00F42AEB"/>
    <w:rsid w:val="00F77B91"/>
    <w:rsid w:val="00F81625"/>
    <w:rsid w:val="00F8752F"/>
    <w:rsid w:val="00F87B1B"/>
    <w:rsid w:val="00F914DA"/>
    <w:rsid w:val="00F94F2E"/>
    <w:rsid w:val="00FA1081"/>
    <w:rsid w:val="00FA2BC4"/>
    <w:rsid w:val="00FA5B3B"/>
    <w:rsid w:val="00FB6459"/>
    <w:rsid w:val="00FC3DD2"/>
    <w:rsid w:val="00FE5369"/>
    <w:rsid w:val="00FF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7C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2F"/>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998"/>
    <w:pPr>
      <w:ind w:left="720"/>
      <w:contextualSpacing/>
    </w:pPr>
  </w:style>
  <w:style w:type="character" w:styleId="Hyperlink">
    <w:name w:val="Hyperlink"/>
    <w:basedOn w:val="DefaultParagraphFont"/>
    <w:uiPriority w:val="99"/>
    <w:unhideWhenUsed/>
    <w:rsid w:val="00A37D55"/>
    <w:rPr>
      <w:color w:val="0563C1" w:themeColor="hyperlink"/>
      <w:u w:val="single"/>
    </w:rPr>
  </w:style>
  <w:style w:type="paragraph" w:customStyle="1" w:styleId="Level1">
    <w:name w:val="Level 1"/>
    <w:uiPriority w:val="99"/>
    <w:rsid w:val="006378A3"/>
    <w:pPr>
      <w:widowControl w:val="0"/>
      <w:autoSpaceDE w:val="0"/>
      <w:autoSpaceDN w:val="0"/>
      <w:adjustRightInd w:val="0"/>
      <w:spacing w:after="0" w:line="240" w:lineRule="auto"/>
      <w:ind w:left="720"/>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19582F"/>
    <w:pPr>
      <w:widowControl/>
      <w:autoSpaceDE/>
      <w:autoSpaceDN/>
      <w:adjustRightInd/>
      <w:contextualSpacing/>
    </w:pPr>
    <w:rPr>
      <w:rFonts w:eastAsiaTheme="minorHAnsi" w:cstheme="minorBidi"/>
    </w:rPr>
  </w:style>
  <w:style w:type="character" w:customStyle="1" w:styleId="FootnoteTextChar">
    <w:name w:val="Footnote Text Char"/>
    <w:basedOn w:val="DefaultParagraphFont"/>
    <w:link w:val="FootnoteText"/>
    <w:uiPriority w:val="99"/>
    <w:rsid w:val="0019582F"/>
    <w:rPr>
      <w:rFonts w:ascii="Times New Roman" w:hAnsi="Times New Roman"/>
      <w:sz w:val="20"/>
      <w:szCs w:val="20"/>
    </w:rPr>
  </w:style>
  <w:style w:type="character" w:styleId="FootnoteReference">
    <w:name w:val="footnote reference"/>
    <w:basedOn w:val="DefaultParagraphFont"/>
    <w:uiPriority w:val="99"/>
    <w:semiHidden/>
    <w:unhideWhenUsed/>
    <w:rsid w:val="0019582F"/>
    <w:rPr>
      <w:vertAlign w:val="superscript"/>
    </w:rPr>
  </w:style>
  <w:style w:type="character" w:customStyle="1" w:styleId="cohighlightpoints">
    <w:name w:val="co_highlightpoints"/>
    <w:basedOn w:val="DefaultParagraphFont"/>
    <w:rsid w:val="0019582F"/>
  </w:style>
  <w:style w:type="paragraph" w:styleId="Header">
    <w:name w:val="header"/>
    <w:basedOn w:val="Normal"/>
    <w:link w:val="HeaderChar"/>
    <w:uiPriority w:val="99"/>
    <w:unhideWhenUsed/>
    <w:rsid w:val="004B48F7"/>
    <w:pPr>
      <w:tabs>
        <w:tab w:val="center" w:pos="4680"/>
        <w:tab w:val="right" w:pos="9360"/>
      </w:tabs>
    </w:pPr>
  </w:style>
  <w:style w:type="character" w:customStyle="1" w:styleId="HeaderChar">
    <w:name w:val="Header Char"/>
    <w:basedOn w:val="DefaultParagraphFont"/>
    <w:link w:val="Header"/>
    <w:uiPriority w:val="99"/>
    <w:rsid w:val="004B48F7"/>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4B48F7"/>
    <w:pPr>
      <w:tabs>
        <w:tab w:val="center" w:pos="4680"/>
        <w:tab w:val="right" w:pos="9360"/>
      </w:tabs>
    </w:pPr>
  </w:style>
  <w:style w:type="character" w:customStyle="1" w:styleId="FooterChar">
    <w:name w:val="Footer Char"/>
    <w:basedOn w:val="DefaultParagraphFont"/>
    <w:link w:val="Footer"/>
    <w:uiPriority w:val="99"/>
    <w:rsid w:val="004B48F7"/>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9E382F"/>
    <w:rPr>
      <w:sz w:val="16"/>
      <w:szCs w:val="16"/>
    </w:rPr>
  </w:style>
  <w:style w:type="paragraph" w:styleId="CommentText">
    <w:name w:val="annotation text"/>
    <w:basedOn w:val="Normal"/>
    <w:link w:val="CommentTextChar"/>
    <w:uiPriority w:val="99"/>
    <w:semiHidden/>
    <w:unhideWhenUsed/>
    <w:rsid w:val="009E382F"/>
  </w:style>
  <w:style w:type="character" w:customStyle="1" w:styleId="CommentTextChar">
    <w:name w:val="Comment Text Char"/>
    <w:basedOn w:val="DefaultParagraphFont"/>
    <w:link w:val="CommentText"/>
    <w:uiPriority w:val="99"/>
    <w:semiHidden/>
    <w:rsid w:val="009E382F"/>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382F"/>
    <w:rPr>
      <w:b/>
      <w:bCs/>
    </w:rPr>
  </w:style>
  <w:style w:type="character" w:customStyle="1" w:styleId="CommentSubjectChar">
    <w:name w:val="Comment Subject Char"/>
    <w:basedOn w:val="CommentTextChar"/>
    <w:link w:val="CommentSubject"/>
    <w:uiPriority w:val="99"/>
    <w:semiHidden/>
    <w:rsid w:val="009E382F"/>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9E3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82F"/>
    <w:rPr>
      <w:rFonts w:ascii="Segoe UI" w:eastAsiaTheme="minorEastAsia" w:hAnsi="Segoe UI" w:cs="Segoe UI"/>
      <w:sz w:val="18"/>
      <w:szCs w:val="18"/>
    </w:rPr>
  </w:style>
  <w:style w:type="paragraph" w:styleId="DocumentMap">
    <w:name w:val="Document Map"/>
    <w:basedOn w:val="Normal"/>
    <w:link w:val="DocumentMapChar"/>
    <w:uiPriority w:val="99"/>
    <w:semiHidden/>
    <w:unhideWhenUsed/>
    <w:rsid w:val="0068386D"/>
    <w:rPr>
      <w:sz w:val="24"/>
      <w:szCs w:val="24"/>
    </w:rPr>
  </w:style>
  <w:style w:type="character" w:customStyle="1" w:styleId="DocumentMapChar">
    <w:name w:val="Document Map Char"/>
    <w:basedOn w:val="DefaultParagraphFont"/>
    <w:link w:val="DocumentMap"/>
    <w:uiPriority w:val="99"/>
    <w:semiHidden/>
    <w:rsid w:val="0068386D"/>
    <w:rPr>
      <w:rFonts w:ascii="Times New Roman" w:eastAsiaTheme="minorEastAsia" w:hAnsi="Times New Roman" w:cs="Times New Roman"/>
      <w:sz w:val="24"/>
      <w:szCs w:val="24"/>
    </w:rPr>
  </w:style>
  <w:style w:type="paragraph" w:styleId="Revision">
    <w:name w:val="Revision"/>
    <w:hidden/>
    <w:uiPriority w:val="99"/>
    <w:semiHidden/>
    <w:rsid w:val="00AD6EF8"/>
    <w:pPr>
      <w:spacing w:after="0" w:line="240" w:lineRule="auto"/>
    </w:pPr>
    <w:rPr>
      <w:rFonts w:ascii="Times New Roman" w:eastAsiaTheme="minorEastAsia" w:hAnsi="Times New Roman" w:cs="Times New Roman"/>
      <w:sz w:val="20"/>
      <w:szCs w:val="20"/>
    </w:rPr>
  </w:style>
  <w:style w:type="paragraph" w:customStyle="1" w:styleId="p1">
    <w:name w:val="p1"/>
    <w:basedOn w:val="Normal"/>
    <w:rsid w:val="00D273C7"/>
    <w:pPr>
      <w:widowControl/>
      <w:autoSpaceDE/>
      <w:autoSpaceDN/>
      <w:adjustRightInd/>
      <w:spacing w:after="180" w:line="210" w:lineRule="atLeast"/>
    </w:pPr>
    <w:rPr>
      <w:rFonts w:eastAsiaTheme="minorHAnsi"/>
      <w:sz w:val="24"/>
      <w:szCs w:val="24"/>
    </w:rPr>
  </w:style>
  <w:style w:type="character" w:customStyle="1" w:styleId="s1">
    <w:name w:val="s1"/>
    <w:basedOn w:val="DefaultParagraphFont"/>
    <w:rsid w:val="00D27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27">
      <w:bodyDiv w:val="1"/>
      <w:marLeft w:val="0"/>
      <w:marRight w:val="0"/>
      <w:marTop w:val="0"/>
      <w:marBottom w:val="0"/>
      <w:divBdr>
        <w:top w:val="none" w:sz="0" w:space="0" w:color="auto"/>
        <w:left w:val="none" w:sz="0" w:space="0" w:color="auto"/>
        <w:bottom w:val="none" w:sz="0" w:space="0" w:color="auto"/>
        <w:right w:val="none" w:sz="0" w:space="0" w:color="auto"/>
      </w:divBdr>
      <w:divsChild>
        <w:div w:id="1533152857">
          <w:marLeft w:val="0"/>
          <w:marRight w:val="0"/>
          <w:marTop w:val="0"/>
          <w:marBottom w:val="0"/>
          <w:divBdr>
            <w:top w:val="none" w:sz="0" w:space="0" w:color="auto"/>
            <w:left w:val="none" w:sz="0" w:space="0" w:color="auto"/>
            <w:bottom w:val="none" w:sz="0" w:space="0" w:color="auto"/>
            <w:right w:val="none" w:sz="0" w:space="0" w:color="auto"/>
          </w:divBdr>
          <w:divsChild>
            <w:div w:id="213280170">
              <w:marLeft w:val="0"/>
              <w:marRight w:val="0"/>
              <w:marTop w:val="0"/>
              <w:marBottom w:val="0"/>
              <w:divBdr>
                <w:top w:val="none" w:sz="0" w:space="0" w:color="auto"/>
                <w:left w:val="none" w:sz="0" w:space="0" w:color="auto"/>
                <w:bottom w:val="none" w:sz="0" w:space="0" w:color="auto"/>
                <w:right w:val="none" w:sz="0" w:space="0" w:color="auto"/>
              </w:divBdr>
              <w:divsChild>
                <w:div w:id="5138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85877">
      <w:bodyDiv w:val="1"/>
      <w:marLeft w:val="0"/>
      <w:marRight w:val="0"/>
      <w:marTop w:val="0"/>
      <w:marBottom w:val="0"/>
      <w:divBdr>
        <w:top w:val="none" w:sz="0" w:space="0" w:color="auto"/>
        <w:left w:val="none" w:sz="0" w:space="0" w:color="auto"/>
        <w:bottom w:val="none" w:sz="0" w:space="0" w:color="auto"/>
        <w:right w:val="none" w:sz="0" w:space="0" w:color="auto"/>
      </w:divBdr>
    </w:div>
    <w:div w:id="538248246">
      <w:bodyDiv w:val="1"/>
      <w:marLeft w:val="0"/>
      <w:marRight w:val="0"/>
      <w:marTop w:val="0"/>
      <w:marBottom w:val="0"/>
      <w:divBdr>
        <w:top w:val="none" w:sz="0" w:space="0" w:color="auto"/>
        <w:left w:val="none" w:sz="0" w:space="0" w:color="auto"/>
        <w:bottom w:val="none" w:sz="0" w:space="0" w:color="auto"/>
        <w:right w:val="none" w:sz="0" w:space="0" w:color="auto"/>
      </w:divBdr>
    </w:div>
    <w:div w:id="585193531">
      <w:bodyDiv w:val="1"/>
      <w:marLeft w:val="0"/>
      <w:marRight w:val="0"/>
      <w:marTop w:val="0"/>
      <w:marBottom w:val="0"/>
      <w:divBdr>
        <w:top w:val="none" w:sz="0" w:space="0" w:color="auto"/>
        <w:left w:val="none" w:sz="0" w:space="0" w:color="auto"/>
        <w:bottom w:val="none" w:sz="0" w:space="0" w:color="auto"/>
        <w:right w:val="none" w:sz="0" w:space="0" w:color="auto"/>
      </w:divBdr>
    </w:div>
    <w:div w:id="628635668">
      <w:bodyDiv w:val="1"/>
      <w:marLeft w:val="0"/>
      <w:marRight w:val="0"/>
      <w:marTop w:val="0"/>
      <w:marBottom w:val="0"/>
      <w:divBdr>
        <w:top w:val="none" w:sz="0" w:space="0" w:color="auto"/>
        <w:left w:val="none" w:sz="0" w:space="0" w:color="auto"/>
        <w:bottom w:val="none" w:sz="0" w:space="0" w:color="auto"/>
        <w:right w:val="none" w:sz="0" w:space="0" w:color="auto"/>
      </w:divBdr>
    </w:div>
    <w:div w:id="755129332">
      <w:bodyDiv w:val="1"/>
      <w:marLeft w:val="0"/>
      <w:marRight w:val="0"/>
      <w:marTop w:val="0"/>
      <w:marBottom w:val="0"/>
      <w:divBdr>
        <w:top w:val="none" w:sz="0" w:space="0" w:color="auto"/>
        <w:left w:val="none" w:sz="0" w:space="0" w:color="auto"/>
        <w:bottom w:val="none" w:sz="0" w:space="0" w:color="auto"/>
        <w:right w:val="none" w:sz="0" w:space="0" w:color="auto"/>
      </w:divBdr>
      <w:divsChild>
        <w:div w:id="2101440227">
          <w:marLeft w:val="0"/>
          <w:marRight w:val="0"/>
          <w:marTop w:val="0"/>
          <w:marBottom w:val="0"/>
          <w:divBdr>
            <w:top w:val="none" w:sz="0" w:space="0" w:color="auto"/>
            <w:left w:val="none" w:sz="0" w:space="0" w:color="auto"/>
            <w:bottom w:val="none" w:sz="0" w:space="0" w:color="auto"/>
            <w:right w:val="none" w:sz="0" w:space="0" w:color="auto"/>
          </w:divBdr>
          <w:divsChild>
            <w:div w:id="1871453764">
              <w:marLeft w:val="0"/>
              <w:marRight w:val="0"/>
              <w:marTop w:val="0"/>
              <w:marBottom w:val="0"/>
              <w:divBdr>
                <w:top w:val="none" w:sz="0" w:space="0" w:color="auto"/>
                <w:left w:val="none" w:sz="0" w:space="0" w:color="auto"/>
                <w:bottom w:val="none" w:sz="0" w:space="0" w:color="auto"/>
                <w:right w:val="none" w:sz="0" w:space="0" w:color="auto"/>
              </w:divBdr>
            </w:div>
            <w:div w:id="4460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2504">
      <w:bodyDiv w:val="1"/>
      <w:marLeft w:val="0"/>
      <w:marRight w:val="0"/>
      <w:marTop w:val="0"/>
      <w:marBottom w:val="0"/>
      <w:divBdr>
        <w:top w:val="none" w:sz="0" w:space="0" w:color="auto"/>
        <w:left w:val="none" w:sz="0" w:space="0" w:color="auto"/>
        <w:bottom w:val="none" w:sz="0" w:space="0" w:color="auto"/>
        <w:right w:val="none" w:sz="0" w:space="0" w:color="auto"/>
      </w:divBdr>
    </w:div>
    <w:div w:id="840970045">
      <w:bodyDiv w:val="1"/>
      <w:marLeft w:val="0"/>
      <w:marRight w:val="0"/>
      <w:marTop w:val="0"/>
      <w:marBottom w:val="0"/>
      <w:divBdr>
        <w:top w:val="none" w:sz="0" w:space="0" w:color="auto"/>
        <w:left w:val="none" w:sz="0" w:space="0" w:color="auto"/>
        <w:bottom w:val="none" w:sz="0" w:space="0" w:color="auto"/>
        <w:right w:val="none" w:sz="0" w:space="0" w:color="auto"/>
      </w:divBdr>
    </w:div>
    <w:div w:id="846217926">
      <w:bodyDiv w:val="1"/>
      <w:marLeft w:val="0"/>
      <w:marRight w:val="0"/>
      <w:marTop w:val="0"/>
      <w:marBottom w:val="0"/>
      <w:divBdr>
        <w:top w:val="none" w:sz="0" w:space="0" w:color="auto"/>
        <w:left w:val="none" w:sz="0" w:space="0" w:color="auto"/>
        <w:bottom w:val="none" w:sz="0" w:space="0" w:color="auto"/>
        <w:right w:val="none" w:sz="0" w:space="0" w:color="auto"/>
      </w:divBdr>
    </w:div>
    <w:div w:id="1092314615">
      <w:bodyDiv w:val="1"/>
      <w:marLeft w:val="0"/>
      <w:marRight w:val="0"/>
      <w:marTop w:val="0"/>
      <w:marBottom w:val="0"/>
      <w:divBdr>
        <w:top w:val="none" w:sz="0" w:space="0" w:color="auto"/>
        <w:left w:val="none" w:sz="0" w:space="0" w:color="auto"/>
        <w:bottom w:val="none" w:sz="0" w:space="0" w:color="auto"/>
        <w:right w:val="none" w:sz="0" w:space="0" w:color="auto"/>
      </w:divBdr>
    </w:div>
    <w:div w:id="1098479610">
      <w:bodyDiv w:val="1"/>
      <w:marLeft w:val="0"/>
      <w:marRight w:val="0"/>
      <w:marTop w:val="0"/>
      <w:marBottom w:val="0"/>
      <w:divBdr>
        <w:top w:val="none" w:sz="0" w:space="0" w:color="auto"/>
        <w:left w:val="none" w:sz="0" w:space="0" w:color="auto"/>
        <w:bottom w:val="none" w:sz="0" w:space="0" w:color="auto"/>
        <w:right w:val="none" w:sz="0" w:space="0" w:color="auto"/>
      </w:divBdr>
    </w:div>
    <w:div w:id="1580214114">
      <w:bodyDiv w:val="1"/>
      <w:marLeft w:val="0"/>
      <w:marRight w:val="0"/>
      <w:marTop w:val="0"/>
      <w:marBottom w:val="0"/>
      <w:divBdr>
        <w:top w:val="none" w:sz="0" w:space="0" w:color="auto"/>
        <w:left w:val="none" w:sz="0" w:space="0" w:color="auto"/>
        <w:bottom w:val="none" w:sz="0" w:space="0" w:color="auto"/>
        <w:right w:val="none" w:sz="0" w:space="0" w:color="auto"/>
      </w:divBdr>
    </w:div>
    <w:div w:id="19979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B9C6-B8B8-42DD-80D7-88DD9E4A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Christy</cp:lastModifiedBy>
  <cp:revision>9</cp:revision>
  <cp:lastPrinted>2017-06-08T20:07:00Z</cp:lastPrinted>
  <dcterms:created xsi:type="dcterms:W3CDTF">2018-03-29T11:20:00Z</dcterms:created>
  <dcterms:modified xsi:type="dcterms:W3CDTF">2018-03-29T12:48:00Z</dcterms:modified>
</cp:coreProperties>
</file>