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868FB" w14:textId="1AB84BC5" w:rsidR="00144746" w:rsidRPr="007B3248" w:rsidRDefault="00144746" w:rsidP="00144746">
      <w:pPr>
        <w:jc w:val="center"/>
        <w:outlineLvl w:val="0"/>
        <w:rPr>
          <w:b/>
          <w:bCs/>
          <w:sz w:val="24"/>
          <w:szCs w:val="24"/>
        </w:rPr>
      </w:pPr>
      <w:r w:rsidRPr="007B3248">
        <w:rPr>
          <w:sz w:val="24"/>
          <w:szCs w:val="24"/>
          <w:lang w:val="en-CA"/>
        </w:rPr>
        <w:fldChar w:fldCharType="begin"/>
      </w:r>
      <w:r w:rsidRPr="007B3248">
        <w:rPr>
          <w:sz w:val="24"/>
          <w:szCs w:val="24"/>
          <w:lang w:val="en-CA"/>
        </w:rPr>
        <w:instrText xml:space="preserve"> SEQ CHAPTER \h \r 1</w:instrText>
      </w:r>
      <w:r w:rsidRPr="007B3248">
        <w:rPr>
          <w:sz w:val="24"/>
          <w:szCs w:val="24"/>
          <w:lang w:val="en-CA"/>
        </w:rPr>
        <w:fldChar w:fldCharType="end"/>
      </w:r>
      <w:r w:rsidRPr="007B3248">
        <w:rPr>
          <w:b/>
          <w:bCs/>
          <w:sz w:val="24"/>
          <w:szCs w:val="24"/>
        </w:rPr>
        <w:t>IN THE COURT OF COMMON PLEAS PHILADELPHIA COUNTY</w:t>
      </w:r>
    </w:p>
    <w:p w14:paraId="14A031B0" w14:textId="77777777" w:rsidR="00144746" w:rsidRPr="007B3248" w:rsidRDefault="00144746" w:rsidP="00144746">
      <w:pPr>
        <w:jc w:val="center"/>
        <w:outlineLvl w:val="0"/>
        <w:rPr>
          <w:b/>
          <w:bCs/>
          <w:sz w:val="24"/>
          <w:szCs w:val="24"/>
        </w:rPr>
      </w:pPr>
      <w:r w:rsidRPr="007B3248">
        <w:rPr>
          <w:b/>
          <w:bCs/>
          <w:sz w:val="24"/>
          <w:szCs w:val="24"/>
        </w:rPr>
        <w:t>FIRST JUDICIAL DISTRICT OF PENNSYLVANIA</w:t>
      </w:r>
    </w:p>
    <w:p w14:paraId="609EF1DF" w14:textId="77777777" w:rsidR="00144746" w:rsidRPr="007B3248" w:rsidRDefault="00144746" w:rsidP="00144746">
      <w:pPr>
        <w:rPr>
          <w:b/>
          <w:bCs/>
          <w:sz w:val="24"/>
          <w:szCs w:val="24"/>
        </w:rPr>
      </w:pPr>
    </w:p>
    <w:p w14:paraId="4CB1D60C" w14:textId="77777777" w:rsidR="00144746" w:rsidRPr="007B3248" w:rsidRDefault="00144746" w:rsidP="00144746">
      <w:pPr>
        <w:jc w:val="center"/>
        <w:outlineLvl w:val="0"/>
        <w:rPr>
          <w:b/>
          <w:bCs/>
          <w:sz w:val="24"/>
          <w:szCs w:val="24"/>
          <w:u w:val="single"/>
        </w:rPr>
      </w:pPr>
      <w:r w:rsidRPr="007B3248">
        <w:rPr>
          <w:b/>
          <w:bCs/>
          <w:sz w:val="24"/>
          <w:szCs w:val="24"/>
          <w:u w:val="single"/>
        </w:rPr>
        <w:t>TRIAL DIVISION—CRIMINAL</w:t>
      </w:r>
    </w:p>
    <w:p w14:paraId="5D6D62A0" w14:textId="77777777" w:rsidR="00144746" w:rsidRPr="007B3248" w:rsidRDefault="00144746" w:rsidP="00144746">
      <w:pPr>
        <w:rPr>
          <w:b/>
          <w:bCs/>
          <w:sz w:val="24"/>
          <w:szCs w:val="24"/>
        </w:rPr>
      </w:pPr>
    </w:p>
    <w:p w14:paraId="486D6CEA" w14:textId="77777777" w:rsidR="00144746" w:rsidRPr="007B3248" w:rsidRDefault="00144746" w:rsidP="00144746">
      <w:pPr>
        <w:rPr>
          <w:b/>
          <w:bCs/>
          <w:sz w:val="24"/>
          <w:szCs w:val="24"/>
        </w:rPr>
      </w:pPr>
      <w:r w:rsidRPr="007B3248">
        <w:rPr>
          <w:b/>
          <w:bCs/>
          <w:sz w:val="24"/>
          <w:szCs w:val="24"/>
        </w:rPr>
        <w:t>COMMONWEALTH OF PENNSYLVANIA</w:t>
      </w:r>
      <w:r w:rsidRPr="007B3248">
        <w:rPr>
          <w:b/>
          <w:bCs/>
          <w:sz w:val="24"/>
          <w:szCs w:val="24"/>
        </w:rPr>
        <w:tab/>
        <w:t>:</w:t>
      </w:r>
    </w:p>
    <w:p w14:paraId="28F83037"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545E7456"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p>
    <w:p w14:paraId="46A1F696" w14:textId="77777777" w:rsidR="00144746" w:rsidRPr="007B3248" w:rsidRDefault="00144746" w:rsidP="00144746">
      <w:pPr>
        <w:rPr>
          <w:b/>
          <w:bCs/>
          <w:sz w:val="24"/>
          <w:szCs w:val="24"/>
        </w:rPr>
      </w:pPr>
      <w:r w:rsidRPr="007B3248">
        <w:rPr>
          <w:b/>
          <w:bCs/>
          <w:sz w:val="24"/>
          <w:szCs w:val="24"/>
        </w:rPr>
        <w:tab/>
        <w:t>v.</w:t>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 xml:space="preserve">: </w:t>
      </w:r>
      <w:r w:rsidRPr="007B3248">
        <w:rPr>
          <w:b/>
          <w:bCs/>
          <w:sz w:val="24"/>
          <w:szCs w:val="24"/>
        </w:rPr>
        <w:tab/>
        <w:t xml:space="preserve">No. </w:t>
      </w:r>
      <w:r w:rsidRPr="007B3248">
        <w:rPr>
          <w:b/>
          <w:bCs/>
          <w:sz w:val="24"/>
          <w:szCs w:val="24"/>
        </w:rPr>
        <w:tab/>
        <w:t>CP-51-CR-</w:t>
      </w:r>
    </w:p>
    <w:p w14:paraId="4E7DAF2F"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46B67DFB" w14:textId="77777777" w:rsidR="00144746" w:rsidRPr="007B3248" w:rsidRDefault="00144746" w:rsidP="00144746">
      <w:pPr>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t xml:space="preserve">        </w:t>
      </w:r>
      <w:r w:rsidRPr="007B3248">
        <w:rPr>
          <w:b/>
          <w:bCs/>
          <w:sz w:val="24"/>
          <w:szCs w:val="24"/>
        </w:rPr>
        <w:tab/>
      </w:r>
    </w:p>
    <w:p w14:paraId="620BF334" w14:textId="77777777" w:rsidR="00144746" w:rsidRPr="007B3248" w:rsidRDefault="00C87724"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color w:val="FF0000"/>
          <w:sz w:val="24"/>
          <w:szCs w:val="24"/>
        </w:rPr>
        <w:t>JOHN DOE</w:t>
      </w:r>
      <w:r w:rsidRPr="007B3248">
        <w:rPr>
          <w:b/>
          <w:bCs/>
          <w:sz w:val="24"/>
          <w:szCs w:val="24"/>
        </w:rPr>
        <w:tab/>
      </w:r>
      <w:r w:rsidRPr="007B3248">
        <w:rPr>
          <w:b/>
          <w:bCs/>
          <w:sz w:val="24"/>
          <w:szCs w:val="24"/>
        </w:rPr>
        <w:tab/>
      </w:r>
      <w:r w:rsidR="00144746" w:rsidRPr="007B3248">
        <w:rPr>
          <w:b/>
          <w:bCs/>
          <w:sz w:val="24"/>
          <w:szCs w:val="24"/>
        </w:rPr>
        <w:tab/>
      </w:r>
      <w:r w:rsidR="00A61B5D" w:rsidRPr="007B3248">
        <w:rPr>
          <w:b/>
          <w:bCs/>
          <w:sz w:val="24"/>
          <w:szCs w:val="24"/>
        </w:rPr>
        <w:tab/>
      </w:r>
      <w:r w:rsidR="00A61B5D" w:rsidRPr="007B3248">
        <w:rPr>
          <w:b/>
          <w:bCs/>
          <w:sz w:val="24"/>
          <w:szCs w:val="24"/>
        </w:rPr>
        <w:tab/>
      </w:r>
      <w:r w:rsidR="00A61B5D" w:rsidRPr="007B3248">
        <w:rPr>
          <w:b/>
          <w:bCs/>
          <w:sz w:val="24"/>
          <w:szCs w:val="24"/>
        </w:rPr>
        <w:tab/>
      </w:r>
      <w:r w:rsidR="00144746" w:rsidRPr="007B3248">
        <w:rPr>
          <w:b/>
          <w:bCs/>
          <w:sz w:val="24"/>
          <w:szCs w:val="24"/>
        </w:rPr>
        <w:t xml:space="preserve">:                   </w:t>
      </w:r>
    </w:p>
    <w:p w14:paraId="7F7DF6BE" w14:textId="77777777" w:rsidR="00144746" w:rsidRPr="007B3248" w:rsidRDefault="00144746" w:rsidP="00144746">
      <w:pPr>
        <w:tabs>
          <w:tab w:val="left" w:pos="720"/>
          <w:tab w:val="left" w:pos="1440"/>
          <w:tab w:val="left" w:pos="2160"/>
          <w:tab w:val="left" w:pos="2880"/>
          <w:tab w:val="left" w:pos="3600"/>
          <w:tab w:val="left" w:pos="4320"/>
          <w:tab w:val="left" w:pos="5040"/>
          <w:tab w:val="left" w:pos="6825"/>
        </w:tabs>
        <w:rPr>
          <w:b/>
          <w:bCs/>
          <w:sz w:val="24"/>
          <w:szCs w:val="24"/>
        </w:rPr>
      </w:pP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r>
      <w:r w:rsidRPr="007B3248">
        <w:rPr>
          <w:b/>
          <w:bCs/>
          <w:sz w:val="24"/>
          <w:szCs w:val="24"/>
        </w:rPr>
        <w:tab/>
        <w:t>:</w:t>
      </w:r>
      <w:r w:rsidRPr="007B3248">
        <w:rPr>
          <w:b/>
          <w:bCs/>
          <w:sz w:val="24"/>
          <w:szCs w:val="24"/>
        </w:rPr>
        <w:tab/>
      </w:r>
    </w:p>
    <w:p w14:paraId="1E6FC399" w14:textId="77777777" w:rsidR="00144746" w:rsidRPr="007B3248" w:rsidRDefault="00144746" w:rsidP="00144746">
      <w:pPr>
        <w:tabs>
          <w:tab w:val="left" w:pos="6825"/>
        </w:tabs>
        <w:rPr>
          <w:b/>
          <w:bCs/>
          <w:sz w:val="24"/>
          <w:szCs w:val="24"/>
        </w:rPr>
      </w:pPr>
      <w:r w:rsidRPr="007B3248">
        <w:rPr>
          <w:b/>
          <w:bCs/>
          <w:sz w:val="24"/>
          <w:szCs w:val="24"/>
        </w:rPr>
        <w:t>__________________________________________:</w:t>
      </w:r>
      <w:r w:rsidRPr="007B3248">
        <w:rPr>
          <w:b/>
          <w:bCs/>
          <w:sz w:val="24"/>
          <w:szCs w:val="24"/>
        </w:rPr>
        <w:tab/>
      </w:r>
    </w:p>
    <w:p w14:paraId="40AF7FB3" w14:textId="77777777" w:rsidR="00144746" w:rsidRPr="007B3248" w:rsidRDefault="00144746" w:rsidP="00144746">
      <w:pPr>
        <w:tabs>
          <w:tab w:val="left" w:pos="6825"/>
        </w:tabs>
        <w:rPr>
          <w:sz w:val="24"/>
          <w:szCs w:val="24"/>
        </w:rPr>
      </w:pPr>
      <w:r w:rsidRPr="007B3248">
        <w:rPr>
          <w:sz w:val="24"/>
          <w:szCs w:val="24"/>
        </w:rPr>
        <w:tab/>
      </w:r>
    </w:p>
    <w:p w14:paraId="27C2DBEE" w14:textId="77777777" w:rsidR="00144746" w:rsidRPr="007B3248" w:rsidRDefault="00144746" w:rsidP="00144746">
      <w:pPr>
        <w:rPr>
          <w:sz w:val="24"/>
          <w:szCs w:val="24"/>
        </w:rPr>
      </w:pPr>
    </w:p>
    <w:p w14:paraId="797C147F" w14:textId="06D00189" w:rsidR="00144746" w:rsidRPr="007B3248" w:rsidRDefault="005A3555" w:rsidP="00144746">
      <w:pPr>
        <w:jc w:val="center"/>
        <w:outlineLvl w:val="0"/>
        <w:rPr>
          <w:sz w:val="24"/>
          <w:szCs w:val="24"/>
        </w:rPr>
      </w:pPr>
      <w:commentRangeStart w:id="0"/>
      <w:r w:rsidRPr="007B3248">
        <w:rPr>
          <w:b/>
          <w:bCs/>
          <w:sz w:val="24"/>
          <w:szCs w:val="24"/>
          <w:u w:val="single"/>
        </w:rPr>
        <w:t xml:space="preserve">POST-SENTENCE </w:t>
      </w:r>
      <w:commentRangeEnd w:id="0"/>
      <w:r w:rsidR="00B31295">
        <w:rPr>
          <w:rStyle w:val="CommentReference"/>
        </w:rPr>
        <w:commentReference w:id="0"/>
      </w:r>
      <w:r w:rsidRPr="007B3248">
        <w:rPr>
          <w:b/>
          <w:bCs/>
          <w:sz w:val="24"/>
          <w:szCs w:val="24"/>
          <w:u w:val="single"/>
        </w:rPr>
        <w:t xml:space="preserve">MOTION TO </w:t>
      </w:r>
      <w:r w:rsidR="00F523F8">
        <w:rPr>
          <w:b/>
          <w:bCs/>
          <w:color w:val="FF0000"/>
          <w:sz w:val="24"/>
          <w:szCs w:val="24"/>
          <w:u w:val="single"/>
        </w:rPr>
        <w:t>IMPOSE AN AFFORDABLE FINE</w:t>
      </w:r>
      <w:commentRangeStart w:id="1"/>
      <w:r w:rsidR="00C87724" w:rsidRPr="00001097">
        <w:rPr>
          <w:b/>
          <w:bCs/>
          <w:color w:val="FF0000"/>
          <w:sz w:val="24"/>
          <w:szCs w:val="24"/>
          <w:u w:val="single"/>
        </w:rPr>
        <w:t xml:space="preserve"> </w:t>
      </w:r>
      <w:commentRangeEnd w:id="1"/>
      <w:r w:rsidR="00001097">
        <w:rPr>
          <w:rStyle w:val="CommentReference"/>
        </w:rPr>
        <w:commentReference w:id="1"/>
      </w:r>
    </w:p>
    <w:p w14:paraId="282B4094" w14:textId="77777777" w:rsidR="00144746" w:rsidRPr="007B3248" w:rsidRDefault="00144746" w:rsidP="00144746">
      <w:pPr>
        <w:rPr>
          <w:sz w:val="24"/>
          <w:szCs w:val="24"/>
        </w:rPr>
      </w:pPr>
    </w:p>
    <w:p w14:paraId="1E592BBC" w14:textId="40DEA112" w:rsidR="00144746" w:rsidRPr="007B3248" w:rsidRDefault="00144746" w:rsidP="00144746">
      <w:pPr>
        <w:spacing w:line="480" w:lineRule="auto"/>
        <w:rPr>
          <w:sz w:val="24"/>
          <w:szCs w:val="24"/>
        </w:rPr>
      </w:pPr>
      <w:r w:rsidRPr="007B3248">
        <w:rPr>
          <w:sz w:val="24"/>
          <w:szCs w:val="24"/>
        </w:rPr>
        <w:tab/>
        <w:t xml:space="preserve">Defendant </w:t>
      </w:r>
      <w:r w:rsidR="00C87724" w:rsidRPr="007B3248">
        <w:rPr>
          <w:color w:val="FF0000"/>
          <w:sz w:val="24"/>
          <w:szCs w:val="24"/>
        </w:rPr>
        <w:t>John Doe</w:t>
      </w:r>
      <w:r w:rsidRPr="007B3248">
        <w:rPr>
          <w:sz w:val="24"/>
          <w:szCs w:val="24"/>
        </w:rPr>
        <w:t xml:space="preserve">, through counsel, hereby moves this Honorable Court to </w:t>
      </w:r>
      <w:r w:rsidR="00CE7491" w:rsidRPr="00001097">
        <w:rPr>
          <w:color w:val="FF0000"/>
          <w:sz w:val="24"/>
          <w:szCs w:val="24"/>
        </w:rPr>
        <w:t xml:space="preserve">impose </w:t>
      </w:r>
      <w:r w:rsidR="00B15A43">
        <w:rPr>
          <w:color w:val="FF0000"/>
          <w:sz w:val="24"/>
          <w:szCs w:val="24"/>
        </w:rPr>
        <w:t xml:space="preserve">an </w:t>
      </w:r>
      <w:r w:rsidR="00F523F8">
        <w:rPr>
          <w:color w:val="FF0000"/>
          <w:sz w:val="24"/>
          <w:szCs w:val="24"/>
        </w:rPr>
        <w:t>affordable</w:t>
      </w:r>
      <w:r w:rsidR="00CE7491" w:rsidRPr="00001097">
        <w:rPr>
          <w:color w:val="FF0000"/>
          <w:sz w:val="24"/>
          <w:szCs w:val="24"/>
        </w:rPr>
        <w:t xml:space="preserve"> fine</w:t>
      </w:r>
      <w:r w:rsidR="005A3555" w:rsidRPr="00001097">
        <w:rPr>
          <w:color w:val="FF0000"/>
          <w:sz w:val="24"/>
          <w:szCs w:val="24"/>
        </w:rPr>
        <w:t xml:space="preserve"> </w:t>
      </w:r>
      <w:r w:rsidR="0027759B" w:rsidRPr="00001097">
        <w:rPr>
          <w:color w:val="FF0000"/>
          <w:sz w:val="24"/>
          <w:szCs w:val="24"/>
        </w:rPr>
        <w:t xml:space="preserve">pursuant </w:t>
      </w:r>
      <w:r w:rsidR="0027759B" w:rsidRPr="007B3248">
        <w:rPr>
          <w:sz w:val="24"/>
          <w:szCs w:val="24"/>
        </w:rPr>
        <w:t xml:space="preserve">to </w:t>
      </w:r>
      <w:r w:rsidR="00CE7491" w:rsidRPr="007B3248">
        <w:rPr>
          <w:sz w:val="24"/>
          <w:szCs w:val="24"/>
        </w:rPr>
        <w:t xml:space="preserve">42 </w:t>
      </w:r>
      <w:proofErr w:type="spellStart"/>
      <w:r w:rsidR="00CE7491" w:rsidRPr="007B3248">
        <w:rPr>
          <w:sz w:val="24"/>
          <w:szCs w:val="24"/>
        </w:rPr>
        <w:t>Pa.</w:t>
      </w:r>
      <w:r w:rsidR="00830D58">
        <w:rPr>
          <w:sz w:val="24"/>
          <w:szCs w:val="24"/>
        </w:rPr>
        <w:t>C.S</w:t>
      </w:r>
      <w:proofErr w:type="spellEnd"/>
      <w:r w:rsidR="00CE7491" w:rsidRPr="007B3248">
        <w:rPr>
          <w:sz w:val="24"/>
          <w:szCs w:val="24"/>
        </w:rPr>
        <w:t>. § 9726</w:t>
      </w:r>
      <w:r w:rsidR="00F523F8">
        <w:rPr>
          <w:sz w:val="24"/>
          <w:szCs w:val="24"/>
        </w:rPr>
        <w:t>(c) and (d)</w:t>
      </w:r>
      <w:r w:rsidR="00830D58">
        <w:rPr>
          <w:sz w:val="24"/>
          <w:szCs w:val="24"/>
        </w:rPr>
        <w:t>,</w:t>
      </w:r>
      <w:r w:rsidR="005A3555" w:rsidRPr="007B3248">
        <w:rPr>
          <w:sz w:val="24"/>
          <w:szCs w:val="24"/>
        </w:rPr>
        <w:t xml:space="preserve"> </w:t>
      </w:r>
      <w:proofErr w:type="spellStart"/>
      <w:r w:rsidR="00830D58" w:rsidRPr="007B3248">
        <w:rPr>
          <w:sz w:val="24"/>
          <w:szCs w:val="24"/>
        </w:rPr>
        <w:t>Pa.R.Crim.P</w:t>
      </w:r>
      <w:proofErr w:type="spellEnd"/>
      <w:r w:rsidR="00830D58" w:rsidRPr="007B3248">
        <w:rPr>
          <w:sz w:val="24"/>
          <w:szCs w:val="24"/>
        </w:rPr>
        <w:t>. 706(C)</w:t>
      </w:r>
      <w:r w:rsidR="00830D58">
        <w:rPr>
          <w:sz w:val="24"/>
          <w:szCs w:val="24"/>
        </w:rPr>
        <w:t>,</w:t>
      </w:r>
      <w:r w:rsidR="00830D58" w:rsidRPr="007B3248">
        <w:rPr>
          <w:sz w:val="24"/>
          <w:szCs w:val="24"/>
        </w:rPr>
        <w:t xml:space="preserve"> and</w:t>
      </w:r>
      <w:r w:rsidR="00830D58">
        <w:rPr>
          <w:sz w:val="24"/>
          <w:szCs w:val="24"/>
        </w:rPr>
        <w:t xml:space="preserve"> Article I, Section 13 of the Pennsylvania Constitution,</w:t>
      </w:r>
      <w:r w:rsidR="00B34B16">
        <w:rPr>
          <w:sz w:val="24"/>
          <w:szCs w:val="24"/>
        </w:rPr>
        <w:t xml:space="preserve"> and</w:t>
      </w:r>
      <w:r w:rsidRPr="007B3248">
        <w:rPr>
          <w:sz w:val="24"/>
          <w:szCs w:val="24"/>
        </w:rPr>
        <w:t xml:space="preserve"> as grounds there</w:t>
      </w:r>
      <w:r w:rsidR="00C87724" w:rsidRPr="007B3248">
        <w:rPr>
          <w:sz w:val="24"/>
          <w:szCs w:val="24"/>
        </w:rPr>
        <w:t>of</w:t>
      </w:r>
      <w:r w:rsidRPr="007B3248">
        <w:rPr>
          <w:sz w:val="24"/>
          <w:szCs w:val="24"/>
        </w:rPr>
        <w:t xml:space="preserve"> avers as follows:</w:t>
      </w:r>
    </w:p>
    <w:p w14:paraId="5DEF8717" w14:textId="77777777" w:rsidR="000D4747" w:rsidRPr="007B3248" w:rsidRDefault="000D4747" w:rsidP="005419B6">
      <w:pPr>
        <w:pStyle w:val="ListParagraph"/>
        <w:numPr>
          <w:ilvl w:val="0"/>
          <w:numId w:val="4"/>
        </w:numPr>
        <w:spacing w:line="480" w:lineRule="auto"/>
        <w:rPr>
          <w:b/>
          <w:sz w:val="24"/>
          <w:szCs w:val="24"/>
        </w:rPr>
      </w:pPr>
      <w:r w:rsidRPr="007B3248">
        <w:rPr>
          <w:b/>
          <w:sz w:val="24"/>
          <w:szCs w:val="24"/>
        </w:rPr>
        <w:t>Background</w:t>
      </w:r>
    </w:p>
    <w:p w14:paraId="491E553F" w14:textId="77777777" w:rsidR="00C80A79" w:rsidRPr="007B3248" w:rsidRDefault="003352AA" w:rsidP="003352AA">
      <w:pPr>
        <w:pStyle w:val="ListParagraph"/>
        <w:numPr>
          <w:ilvl w:val="0"/>
          <w:numId w:val="2"/>
        </w:numPr>
        <w:spacing w:line="480" w:lineRule="auto"/>
        <w:rPr>
          <w:color w:val="FF0000"/>
          <w:sz w:val="24"/>
          <w:szCs w:val="24"/>
        </w:rPr>
      </w:pPr>
      <w:r w:rsidRPr="007B3248">
        <w:rPr>
          <w:color w:val="FF0000"/>
          <w:sz w:val="24"/>
          <w:szCs w:val="24"/>
        </w:rPr>
        <w:t>[Background on case and details of sentence]</w:t>
      </w:r>
    </w:p>
    <w:p w14:paraId="2BB92E33" w14:textId="77777777" w:rsidR="00C87724" w:rsidRPr="007B3248" w:rsidRDefault="00C87724" w:rsidP="003352AA">
      <w:pPr>
        <w:pStyle w:val="ListParagraph"/>
        <w:numPr>
          <w:ilvl w:val="0"/>
          <w:numId w:val="2"/>
        </w:numPr>
        <w:spacing w:line="480" w:lineRule="auto"/>
        <w:rPr>
          <w:color w:val="FF0000"/>
          <w:sz w:val="24"/>
          <w:szCs w:val="24"/>
        </w:rPr>
      </w:pPr>
      <w:r w:rsidRPr="007B3248">
        <w:rPr>
          <w:color w:val="FF0000"/>
          <w:sz w:val="24"/>
          <w:szCs w:val="24"/>
        </w:rPr>
        <w:t>[Background on defendant’s financial situation]</w:t>
      </w:r>
    </w:p>
    <w:p w14:paraId="7A2E2BF9" w14:textId="4600372C" w:rsidR="000D4747" w:rsidRPr="007B3248" w:rsidRDefault="00CE7491" w:rsidP="005419B6">
      <w:pPr>
        <w:pStyle w:val="FootnoteText"/>
        <w:numPr>
          <w:ilvl w:val="0"/>
          <w:numId w:val="4"/>
        </w:numPr>
        <w:rPr>
          <w:b/>
          <w:sz w:val="24"/>
          <w:szCs w:val="24"/>
        </w:rPr>
      </w:pPr>
      <w:r w:rsidRPr="007B3248">
        <w:rPr>
          <w:b/>
          <w:sz w:val="24"/>
          <w:szCs w:val="24"/>
        </w:rPr>
        <w:t xml:space="preserve">This Court cannot impose a fine without considering </w:t>
      </w:r>
      <w:r w:rsidR="002257AC" w:rsidRPr="007B3248">
        <w:rPr>
          <w:b/>
          <w:sz w:val="24"/>
          <w:szCs w:val="24"/>
        </w:rPr>
        <w:t>Mr.</w:t>
      </w:r>
      <w:r w:rsidRPr="007B3248">
        <w:rPr>
          <w:b/>
          <w:sz w:val="24"/>
          <w:szCs w:val="24"/>
        </w:rPr>
        <w:t xml:space="preserve"> </w:t>
      </w:r>
      <w:r w:rsidRPr="007B3248">
        <w:rPr>
          <w:b/>
          <w:color w:val="FF0000"/>
          <w:sz w:val="24"/>
          <w:szCs w:val="24"/>
        </w:rPr>
        <w:t xml:space="preserve">Doe’s </w:t>
      </w:r>
      <w:r w:rsidRPr="007B3248">
        <w:rPr>
          <w:b/>
          <w:sz w:val="24"/>
          <w:szCs w:val="24"/>
        </w:rPr>
        <w:t>ability to pay that fine</w:t>
      </w:r>
      <w:r w:rsidR="000D4747" w:rsidRPr="007B3248">
        <w:rPr>
          <w:b/>
          <w:sz w:val="24"/>
          <w:szCs w:val="24"/>
        </w:rPr>
        <w:t>.</w:t>
      </w:r>
    </w:p>
    <w:p w14:paraId="60F01B51" w14:textId="77777777" w:rsidR="001F2FAC" w:rsidRPr="007B3248" w:rsidRDefault="001F2FAC" w:rsidP="001F2FAC">
      <w:pPr>
        <w:pStyle w:val="FootnoteText"/>
        <w:ind w:left="1080"/>
        <w:rPr>
          <w:b/>
          <w:sz w:val="24"/>
          <w:szCs w:val="24"/>
        </w:rPr>
      </w:pPr>
    </w:p>
    <w:p w14:paraId="7A392E86" w14:textId="5099BCF0" w:rsidR="00CE7491" w:rsidRPr="007B3248" w:rsidRDefault="00CE7491" w:rsidP="00A15AF2">
      <w:pPr>
        <w:pStyle w:val="FootnoteText"/>
        <w:numPr>
          <w:ilvl w:val="0"/>
          <w:numId w:val="2"/>
        </w:numPr>
        <w:spacing w:line="480" w:lineRule="auto"/>
        <w:rPr>
          <w:sz w:val="24"/>
          <w:szCs w:val="24"/>
        </w:rPr>
      </w:pPr>
      <w:r w:rsidRPr="007B3248">
        <w:rPr>
          <w:sz w:val="24"/>
          <w:szCs w:val="24"/>
        </w:rPr>
        <w:t>Pennsylvania law requires that this Court consider</w:t>
      </w:r>
      <w:r w:rsidR="00086CC1" w:rsidRPr="007B3248">
        <w:rPr>
          <w:sz w:val="24"/>
          <w:szCs w:val="24"/>
        </w:rPr>
        <w:t xml:space="preserve"> Mr. </w:t>
      </w:r>
      <w:r w:rsidRPr="007B3248">
        <w:rPr>
          <w:color w:val="FF0000"/>
          <w:sz w:val="24"/>
          <w:szCs w:val="24"/>
        </w:rPr>
        <w:t xml:space="preserve">Doe’s </w:t>
      </w:r>
      <w:r w:rsidRPr="007B3248">
        <w:rPr>
          <w:sz w:val="24"/>
          <w:szCs w:val="24"/>
        </w:rPr>
        <w:t xml:space="preserve">ability to pay a fine prior to imposing it, and it prohibits the Court from imposing a fine that Mr. </w:t>
      </w:r>
      <w:r w:rsidRPr="007B3248">
        <w:rPr>
          <w:color w:val="FF0000"/>
          <w:sz w:val="24"/>
          <w:szCs w:val="24"/>
        </w:rPr>
        <w:t xml:space="preserve">Doe </w:t>
      </w:r>
      <w:r w:rsidRPr="007B3248">
        <w:rPr>
          <w:sz w:val="24"/>
          <w:szCs w:val="24"/>
        </w:rPr>
        <w:t xml:space="preserve">is or will be unable to pay. 42 </w:t>
      </w:r>
      <w:proofErr w:type="spellStart"/>
      <w:r w:rsidRPr="007B3248">
        <w:rPr>
          <w:sz w:val="24"/>
          <w:szCs w:val="24"/>
        </w:rPr>
        <w:t>Pa</w:t>
      </w:r>
      <w:r w:rsidR="00E842AF">
        <w:rPr>
          <w:sz w:val="24"/>
          <w:szCs w:val="24"/>
        </w:rPr>
        <w:t>.C.S</w:t>
      </w:r>
      <w:proofErr w:type="spellEnd"/>
      <w:r w:rsidR="00E842AF">
        <w:rPr>
          <w:sz w:val="24"/>
          <w:szCs w:val="24"/>
        </w:rPr>
        <w:t>.</w:t>
      </w:r>
      <w:r w:rsidRPr="007B3248">
        <w:rPr>
          <w:sz w:val="24"/>
          <w:szCs w:val="24"/>
        </w:rPr>
        <w:t xml:space="preserve"> § 9730 provides:</w:t>
      </w:r>
    </w:p>
    <w:p w14:paraId="34329912" w14:textId="77777777" w:rsidR="00CE7491" w:rsidRPr="007B3248" w:rsidRDefault="00CE7491" w:rsidP="00CE7491">
      <w:pPr>
        <w:pStyle w:val="FootnoteText"/>
        <w:ind w:left="1440" w:right="720"/>
        <w:rPr>
          <w:sz w:val="24"/>
          <w:szCs w:val="24"/>
        </w:rPr>
      </w:pPr>
      <w:r w:rsidRPr="007B3248">
        <w:rPr>
          <w:sz w:val="24"/>
          <w:szCs w:val="24"/>
        </w:rPr>
        <w:t>(c)  Exception.--The court shall not sentence a defendant to pay a fine unless it appears of record that:</w:t>
      </w:r>
    </w:p>
    <w:p w14:paraId="14270D60" w14:textId="77777777" w:rsidR="00CE7491" w:rsidRPr="007B3248" w:rsidRDefault="00CE7491" w:rsidP="00CE7491">
      <w:pPr>
        <w:pStyle w:val="FootnoteText"/>
        <w:ind w:left="1440" w:right="720"/>
        <w:rPr>
          <w:sz w:val="24"/>
          <w:szCs w:val="24"/>
        </w:rPr>
      </w:pPr>
    </w:p>
    <w:p w14:paraId="3938DA71" w14:textId="77777777" w:rsidR="00CE7491" w:rsidRPr="007B3248" w:rsidRDefault="00CE7491" w:rsidP="00CE7491">
      <w:pPr>
        <w:pStyle w:val="FootnoteText"/>
        <w:ind w:left="1440" w:right="720" w:firstLine="720"/>
        <w:rPr>
          <w:sz w:val="24"/>
          <w:szCs w:val="24"/>
        </w:rPr>
      </w:pPr>
      <w:r w:rsidRPr="007B3248">
        <w:rPr>
          <w:sz w:val="24"/>
          <w:szCs w:val="24"/>
        </w:rPr>
        <w:t xml:space="preserve">(1)  </w:t>
      </w:r>
      <w:proofErr w:type="gramStart"/>
      <w:r w:rsidRPr="007B3248">
        <w:rPr>
          <w:sz w:val="24"/>
          <w:szCs w:val="24"/>
        </w:rPr>
        <w:t>the</w:t>
      </w:r>
      <w:proofErr w:type="gramEnd"/>
      <w:r w:rsidRPr="007B3248">
        <w:rPr>
          <w:sz w:val="24"/>
          <w:szCs w:val="24"/>
        </w:rPr>
        <w:t xml:space="preserve"> defendant is or will be able to pay the fine; and</w:t>
      </w:r>
    </w:p>
    <w:p w14:paraId="5520EE3A" w14:textId="77777777" w:rsidR="00CE7491" w:rsidRPr="007B3248" w:rsidRDefault="00CE7491" w:rsidP="00CE7491">
      <w:pPr>
        <w:pStyle w:val="FootnoteText"/>
        <w:ind w:left="1440" w:right="720"/>
        <w:rPr>
          <w:sz w:val="24"/>
          <w:szCs w:val="24"/>
        </w:rPr>
      </w:pPr>
    </w:p>
    <w:p w14:paraId="6B60045B" w14:textId="77777777" w:rsidR="00CE7491" w:rsidRPr="007B3248" w:rsidRDefault="00CE7491" w:rsidP="00CE7491">
      <w:pPr>
        <w:pStyle w:val="FootnoteText"/>
        <w:ind w:left="2160" w:right="720"/>
        <w:rPr>
          <w:sz w:val="24"/>
          <w:szCs w:val="24"/>
        </w:rPr>
      </w:pPr>
      <w:r w:rsidRPr="007B3248">
        <w:rPr>
          <w:sz w:val="24"/>
          <w:szCs w:val="24"/>
        </w:rPr>
        <w:t xml:space="preserve">(2)  </w:t>
      </w:r>
      <w:proofErr w:type="gramStart"/>
      <w:r w:rsidRPr="007B3248">
        <w:rPr>
          <w:sz w:val="24"/>
          <w:szCs w:val="24"/>
        </w:rPr>
        <w:t>the</w:t>
      </w:r>
      <w:proofErr w:type="gramEnd"/>
      <w:r w:rsidRPr="007B3248">
        <w:rPr>
          <w:sz w:val="24"/>
          <w:szCs w:val="24"/>
        </w:rPr>
        <w:t xml:space="preserve"> fine will not prevent the defendant from making restitution or reparation to the victim of the crime.</w:t>
      </w:r>
    </w:p>
    <w:p w14:paraId="5D93F65E" w14:textId="77777777" w:rsidR="00CE7491" w:rsidRPr="007B3248" w:rsidRDefault="00CE7491" w:rsidP="00CE7491">
      <w:pPr>
        <w:pStyle w:val="FootnoteText"/>
        <w:ind w:left="1440" w:right="720"/>
        <w:rPr>
          <w:sz w:val="24"/>
          <w:szCs w:val="24"/>
        </w:rPr>
      </w:pPr>
    </w:p>
    <w:p w14:paraId="5831CB56" w14:textId="105F4FCA" w:rsidR="00CE7491" w:rsidRPr="007B3248" w:rsidRDefault="00CE7491" w:rsidP="00CE7491">
      <w:pPr>
        <w:pStyle w:val="FootnoteText"/>
        <w:ind w:left="1440" w:right="720"/>
        <w:rPr>
          <w:sz w:val="24"/>
          <w:szCs w:val="24"/>
        </w:rPr>
      </w:pPr>
      <w:r w:rsidRPr="007B3248">
        <w:rPr>
          <w:sz w:val="24"/>
          <w:szCs w:val="24"/>
        </w:rPr>
        <w:t>(d)  Financial resources.--In determining the amount and method of payment of a fine, the court shall take into account the financial resources of the defendant and the nature of the burden that its payment will impose.</w:t>
      </w:r>
    </w:p>
    <w:p w14:paraId="6846A084" w14:textId="77777777" w:rsidR="00CE7491" w:rsidRPr="007B3248" w:rsidRDefault="00CE7491" w:rsidP="00CE7491">
      <w:pPr>
        <w:pStyle w:val="FootnoteText"/>
        <w:ind w:left="1440" w:right="720"/>
        <w:rPr>
          <w:sz w:val="24"/>
          <w:szCs w:val="24"/>
        </w:rPr>
      </w:pPr>
    </w:p>
    <w:p w14:paraId="1FEE4955" w14:textId="5F6A74E4" w:rsidR="00E842AF" w:rsidRPr="00CA1324" w:rsidRDefault="00E842AF" w:rsidP="00F83DF4">
      <w:pPr>
        <w:pStyle w:val="FootnoteText"/>
        <w:numPr>
          <w:ilvl w:val="0"/>
          <w:numId w:val="2"/>
        </w:numPr>
        <w:spacing w:line="480" w:lineRule="auto"/>
        <w:rPr>
          <w:sz w:val="24"/>
          <w:szCs w:val="24"/>
        </w:rPr>
      </w:pPr>
      <w:r w:rsidRPr="00CA1324">
        <w:rPr>
          <w:sz w:val="24"/>
          <w:szCs w:val="24"/>
        </w:rPr>
        <w:t xml:space="preserve">This statute has two key requirements: subsection (c) prohibits imposing </w:t>
      </w:r>
      <w:r w:rsidRPr="00CA1324">
        <w:rPr>
          <w:i/>
          <w:sz w:val="24"/>
          <w:szCs w:val="24"/>
        </w:rPr>
        <w:t>any</w:t>
      </w:r>
      <w:r w:rsidRPr="00CA1324">
        <w:rPr>
          <w:sz w:val="24"/>
          <w:szCs w:val="24"/>
        </w:rPr>
        <w:t xml:space="preserve"> fine on a defendant who cannot afford one, and subsection (d) limits the dollar amount of a fine to what the record shows that the defendant can afford.</w:t>
      </w:r>
      <w:r w:rsidR="00830D58" w:rsidRPr="00CA1324">
        <w:rPr>
          <w:sz w:val="24"/>
          <w:szCs w:val="24"/>
        </w:rPr>
        <w:t xml:space="preserve"> The Pennsylvania Supreme Court </w:t>
      </w:r>
      <w:r w:rsidR="001E7D54" w:rsidRPr="00CA1324">
        <w:rPr>
          <w:sz w:val="24"/>
          <w:szCs w:val="24"/>
        </w:rPr>
        <w:t xml:space="preserve">has explained that this statute puts </w:t>
      </w:r>
      <w:r w:rsidR="002D71E4" w:rsidRPr="00CA1324">
        <w:rPr>
          <w:sz w:val="24"/>
          <w:szCs w:val="24"/>
        </w:rPr>
        <w:t>an</w:t>
      </w:r>
      <w:r w:rsidR="001E7D54" w:rsidRPr="00CA1324">
        <w:rPr>
          <w:sz w:val="24"/>
          <w:szCs w:val="24"/>
        </w:rPr>
        <w:t xml:space="preserve"> obligation on the sentencing court to </w:t>
      </w:r>
      <w:r w:rsidR="002D71E4" w:rsidRPr="00CA1324">
        <w:rPr>
          <w:sz w:val="24"/>
          <w:szCs w:val="24"/>
        </w:rPr>
        <w:t>determine on the record whether the defendant will be able to pay a fine</w:t>
      </w:r>
      <w:r w:rsidR="001E7D54" w:rsidRPr="00CA1324">
        <w:rPr>
          <w:sz w:val="24"/>
          <w:szCs w:val="24"/>
        </w:rPr>
        <w:t xml:space="preserve">: “Subsection 9726(c) does not put the burden on defendants to inform the court that they might have trouble paying a fine. Instead, it instructs sentencing courts not to impose a fine absent record evidence of the defendant’s ability to pay.” </w:t>
      </w:r>
      <w:r w:rsidR="001E7D54" w:rsidRPr="00CA1324">
        <w:rPr>
          <w:i/>
          <w:sz w:val="24"/>
          <w:szCs w:val="24"/>
        </w:rPr>
        <w:t>Commonwealth v. Ford</w:t>
      </w:r>
      <w:r w:rsidR="001E7D54" w:rsidRPr="00CA1324">
        <w:rPr>
          <w:sz w:val="24"/>
          <w:szCs w:val="24"/>
        </w:rPr>
        <w:t xml:space="preserve">, 217 A.3d 824, 829 (Pa. 2019). </w:t>
      </w:r>
      <w:r w:rsidR="001E7D54" w:rsidRPr="00CA1324">
        <w:rPr>
          <w:i/>
          <w:sz w:val="24"/>
          <w:szCs w:val="24"/>
        </w:rPr>
        <w:t>See also Commonwealth v. Fusco</w:t>
      </w:r>
      <w:r w:rsidR="001E7D54" w:rsidRPr="00CA1324">
        <w:rPr>
          <w:sz w:val="24"/>
          <w:szCs w:val="24"/>
        </w:rPr>
        <w:t>, 594 A.2d 373, 375 (Pa. Super. Ct. 1991) (vacating a fine and remanding where the trial court failed to make a record of the defendant’s ability to pay before imposing a fine).</w:t>
      </w:r>
      <w:r w:rsidR="0049635C" w:rsidRPr="00CA1324">
        <w:rPr>
          <w:sz w:val="24"/>
          <w:szCs w:val="24"/>
        </w:rPr>
        <w:t xml:space="preserve"> As in the </w:t>
      </w:r>
      <w:r w:rsidR="0049635C" w:rsidRPr="00CA1324">
        <w:rPr>
          <w:i/>
          <w:sz w:val="24"/>
          <w:szCs w:val="24"/>
        </w:rPr>
        <w:t>Ford</w:t>
      </w:r>
      <w:r w:rsidR="0049635C" w:rsidRPr="00CA1324">
        <w:rPr>
          <w:sz w:val="24"/>
          <w:szCs w:val="24"/>
        </w:rPr>
        <w:t xml:space="preserve"> case, this </w:t>
      </w:r>
      <w:r w:rsidR="00D071AF" w:rsidRPr="00CA1324">
        <w:rPr>
          <w:sz w:val="24"/>
          <w:szCs w:val="24"/>
        </w:rPr>
        <w:t>obligation</w:t>
      </w:r>
      <w:r w:rsidR="0049635C" w:rsidRPr="00CA1324">
        <w:rPr>
          <w:sz w:val="24"/>
          <w:szCs w:val="24"/>
        </w:rPr>
        <w:t xml:space="preserve"> applies even if a defendant pleads guilty and agrees to pay a specific fine.</w:t>
      </w:r>
      <w:r w:rsidR="00452C34" w:rsidRPr="00CA1324">
        <w:rPr>
          <w:sz w:val="24"/>
          <w:szCs w:val="24"/>
        </w:rPr>
        <w:t xml:space="preserve"> </w:t>
      </w:r>
      <w:r w:rsidR="00452C34" w:rsidRPr="00CA1324">
        <w:rPr>
          <w:i/>
          <w:sz w:val="24"/>
          <w:szCs w:val="24"/>
        </w:rPr>
        <w:t>Ford</w:t>
      </w:r>
      <w:r w:rsidR="00452C34" w:rsidRPr="00CA1324">
        <w:rPr>
          <w:sz w:val="24"/>
          <w:szCs w:val="24"/>
        </w:rPr>
        <w:t>, 217 A.3d at 829.</w:t>
      </w:r>
      <w:r w:rsidR="000B735E" w:rsidRPr="00CA1324">
        <w:rPr>
          <w:sz w:val="24"/>
          <w:szCs w:val="24"/>
        </w:rPr>
        <w:t xml:space="preserve"> This Court must then make findings on the record about what fine, if any, Mr. </w:t>
      </w:r>
      <w:r w:rsidR="000B735E" w:rsidRPr="00CA1324">
        <w:rPr>
          <w:color w:val="FF0000"/>
          <w:sz w:val="24"/>
          <w:szCs w:val="24"/>
        </w:rPr>
        <w:t xml:space="preserve">Doe </w:t>
      </w:r>
      <w:r w:rsidR="000B735E" w:rsidRPr="00CA1324">
        <w:rPr>
          <w:sz w:val="24"/>
          <w:szCs w:val="24"/>
        </w:rPr>
        <w:t xml:space="preserve">can afford. </w:t>
      </w:r>
      <w:r w:rsidR="000B735E" w:rsidRPr="00CA1324">
        <w:rPr>
          <w:i/>
          <w:sz w:val="24"/>
          <w:szCs w:val="24"/>
        </w:rPr>
        <w:t>See</w:t>
      </w:r>
      <w:r w:rsidR="000B735E" w:rsidRPr="00CA1324">
        <w:rPr>
          <w:sz w:val="24"/>
          <w:szCs w:val="24"/>
        </w:rPr>
        <w:t xml:space="preserve">, </w:t>
      </w:r>
      <w:r w:rsidR="000B735E" w:rsidRPr="00CA1324">
        <w:rPr>
          <w:i/>
          <w:sz w:val="24"/>
          <w:szCs w:val="24"/>
        </w:rPr>
        <w:t>e.g.</w:t>
      </w:r>
      <w:r w:rsidR="000B735E" w:rsidRPr="00CA1324">
        <w:rPr>
          <w:sz w:val="24"/>
          <w:szCs w:val="24"/>
        </w:rPr>
        <w:t xml:space="preserve">, </w:t>
      </w:r>
      <w:r w:rsidR="00CA1324" w:rsidRPr="00CA1324">
        <w:rPr>
          <w:i/>
          <w:sz w:val="24"/>
          <w:szCs w:val="24"/>
        </w:rPr>
        <w:t xml:space="preserve">Commonwealth v. </w:t>
      </w:r>
      <w:proofErr w:type="spellStart"/>
      <w:r w:rsidR="00CA1324" w:rsidRPr="00CA1324">
        <w:rPr>
          <w:i/>
          <w:sz w:val="24"/>
          <w:szCs w:val="24"/>
        </w:rPr>
        <w:t>Allshouse</w:t>
      </w:r>
      <w:proofErr w:type="spellEnd"/>
      <w:r w:rsidR="00CA1324" w:rsidRPr="00CA1324">
        <w:rPr>
          <w:sz w:val="24"/>
          <w:szCs w:val="24"/>
        </w:rPr>
        <w:t>, 924 A.2d 1215, 1228 (Pa. Super. Ct. 2007) (“[A] trial court must enter specific findings that would allow it to determine whether a</w:t>
      </w:r>
      <w:r w:rsidR="00CA1324">
        <w:rPr>
          <w:sz w:val="24"/>
          <w:szCs w:val="24"/>
        </w:rPr>
        <w:t xml:space="preserve"> d</w:t>
      </w:r>
      <w:r w:rsidR="00CA1324" w:rsidRPr="00CA1324">
        <w:rPr>
          <w:sz w:val="24"/>
          <w:szCs w:val="24"/>
        </w:rPr>
        <w:t>efendant could pa</w:t>
      </w:r>
      <w:r w:rsidR="00CA1324">
        <w:rPr>
          <w:sz w:val="24"/>
          <w:szCs w:val="24"/>
        </w:rPr>
        <w:t>y a specific amount in fines.”).</w:t>
      </w:r>
    </w:p>
    <w:p w14:paraId="6ADAC09D" w14:textId="5FF57397" w:rsidR="005F3124" w:rsidRDefault="00B70B3B" w:rsidP="00B70B3B">
      <w:pPr>
        <w:pStyle w:val="FootnoteText"/>
        <w:numPr>
          <w:ilvl w:val="0"/>
          <w:numId w:val="2"/>
        </w:numPr>
        <w:spacing w:line="480" w:lineRule="auto"/>
        <w:rPr>
          <w:sz w:val="24"/>
          <w:szCs w:val="24"/>
        </w:rPr>
      </w:pPr>
      <w:r>
        <w:rPr>
          <w:sz w:val="24"/>
          <w:szCs w:val="24"/>
        </w:rPr>
        <w:t xml:space="preserve">The requirement to consider a defendant’s to pay a fine is also found in </w:t>
      </w:r>
      <w:proofErr w:type="spellStart"/>
      <w:r w:rsidR="005F3124">
        <w:rPr>
          <w:sz w:val="24"/>
          <w:szCs w:val="24"/>
        </w:rPr>
        <w:t>Pa.R.Crim.P</w:t>
      </w:r>
      <w:proofErr w:type="spellEnd"/>
      <w:r w:rsidR="005F3124">
        <w:rPr>
          <w:sz w:val="24"/>
          <w:szCs w:val="24"/>
        </w:rPr>
        <w:t>. 706(C)</w:t>
      </w:r>
      <w:r>
        <w:rPr>
          <w:sz w:val="24"/>
          <w:szCs w:val="24"/>
        </w:rPr>
        <w:t>: “</w:t>
      </w:r>
      <w:r w:rsidRPr="00B70B3B">
        <w:rPr>
          <w:sz w:val="24"/>
          <w:szCs w:val="24"/>
        </w:rPr>
        <w:t>The court, in determining the amount and method of payment of a fine or costs shall, insofar as is just and practicable, consider the burden upon the defendant by reason of the defendant’s financial means, including the defendant’s ability to make restitution or reparations.</w:t>
      </w:r>
      <w:r>
        <w:rPr>
          <w:sz w:val="24"/>
          <w:szCs w:val="24"/>
        </w:rPr>
        <w:t>”</w:t>
      </w:r>
      <w:r w:rsidR="0049635C">
        <w:rPr>
          <w:sz w:val="24"/>
          <w:szCs w:val="24"/>
        </w:rPr>
        <w:t xml:space="preserve"> This provision applies at sentencing and requires that the court consider </w:t>
      </w:r>
      <w:r w:rsidR="0049635C">
        <w:rPr>
          <w:sz w:val="24"/>
          <w:szCs w:val="24"/>
        </w:rPr>
        <w:lastRenderedPageBreak/>
        <w:t xml:space="preserve">the defendant’s ability to pay when imposing a fine. </w:t>
      </w:r>
      <w:r w:rsidR="0049635C" w:rsidRPr="007B3248">
        <w:rPr>
          <w:i/>
          <w:sz w:val="24"/>
          <w:szCs w:val="24"/>
        </w:rPr>
        <w:t>See, e.g.</w:t>
      </w:r>
      <w:r w:rsidR="0049635C" w:rsidRPr="007B3248">
        <w:rPr>
          <w:sz w:val="24"/>
          <w:szCs w:val="24"/>
        </w:rPr>
        <w:t xml:space="preserve">, </w:t>
      </w:r>
      <w:r w:rsidR="0049635C" w:rsidRPr="00C11A91">
        <w:rPr>
          <w:i/>
          <w:sz w:val="24"/>
          <w:szCs w:val="24"/>
        </w:rPr>
        <w:t>Commonwealth v. Martin</w:t>
      </w:r>
      <w:r w:rsidR="0049635C" w:rsidRPr="007B3248">
        <w:rPr>
          <w:sz w:val="24"/>
          <w:szCs w:val="24"/>
        </w:rPr>
        <w:t>, 335 A.2d 424 (Pa. Super. Ct. 1975) (</w:t>
      </w:r>
      <w:proofErr w:type="spellStart"/>
      <w:r w:rsidR="0049635C" w:rsidRPr="007B3248">
        <w:rPr>
          <w:sz w:val="24"/>
          <w:szCs w:val="24"/>
        </w:rPr>
        <w:t>en</w:t>
      </w:r>
      <w:proofErr w:type="spellEnd"/>
      <w:r w:rsidR="0049635C" w:rsidRPr="007B3248">
        <w:rPr>
          <w:sz w:val="24"/>
          <w:szCs w:val="24"/>
        </w:rPr>
        <w:t xml:space="preserve"> banc) (trial court violated Rule 706(C) (then 1407) by failing to consider the defendant’s ability to pay a $5,000 fine); </w:t>
      </w:r>
      <w:r w:rsidR="0049635C" w:rsidRPr="00C11A91">
        <w:rPr>
          <w:i/>
          <w:sz w:val="24"/>
          <w:szCs w:val="24"/>
        </w:rPr>
        <w:t>Commonwealth v. Mead</w:t>
      </w:r>
      <w:r w:rsidR="0049635C" w:rsidRPr="007B3248">
        <w:rPr>
          <w:sz w:val="24"/>
          <w:szCs w:val="24"/>
        </w:rPr>
        <w:t>, 446 A.2d 971, 973 (Pa. Super. Ct. 1982) (Rule 706</w:t>
      </w:r>
      <w:r w:rsidR="0049635C">
        <w:rPr>
          <w:sz w:val="24"/>
          <w:szCs w:val="24"/>
        </w:rPr>
        <w:t>(c)</w:t>
      </w:r>
      <w:r w:rsidR="0049635C" w:rsidRPr="007B3248">
        <w:rPr>
          <w:sz w:val="24"/>
          <w:szCs w:val="24"/>
        </w:rPr>
        <w:t xml:space="preserve"> (then 1407) and § 9726 require that a court determine “on the record, whether he would be able to pay the fine”)</w:t>
      </w:r>
      <w:r w:rsidR="0049635C">
        <w:rPr>
          <w:sz w:val="24"/>
          <w:szCs w:val="24"/>
        </w:rPr>
        <w:t>.</w:t>
      </w:r>
    </w:p>
    <w:p w14:paraId="296FC1F9" w14:textId="3F53DEE2" w:rsidR="00A61A68" w:rsidRPr="00CA0209" w:rsidRDefault="00A61A68" w:rsidP="00CA0209">
      <w:pPr>
        <w:pStyle w:val="FootnoteText"/>
        <w:numPr>
          <w:ilvl w:val="0"/>
          <w:numId w:val="2"/>
        </w:numPr>
        <w:spacing w:line="480" w:lineRule="auto"/>
        <w:rPr>
          <w:sz w:val="24"/>
          <w:szCs w:val="24"/>
        </w:rPr>
      </w:pPr>
      <w:r>
        <w:rPr>
          <w:sz w:val="24"/>
          <w:szCs w:val="24"/>
        </w:rPr>
        <w:t xml:space="preserve">Finally, the </w:t>
      </w:r>
      <w:commentRangeStart w:id="2"/>
      <w:r>
        <w:rPr>
          <w:sz w:val="24"/>
          <w:szCs w:val="24"/>
        </w:rPr>
        <w:t xml:space="preserve">Excessive Fines Clause </w:t>
      </w:r>
      <w:commentRangeEnd w:id="2"/>
      <w:r w:rsidR="00D04A5F">
        <w:rPr>
          <w:rStyle w:val="CommentReference"/>
          <w:rFonts w:eastAsiaTheme="minorEastAsia" w:cs="Times New Roman"/>
        </w:rPr>
        <w:commentReference w:id="2"/>
      </w:r>
      <w:r>
        <w:rPr>
          <w:sz w:val="24"/>
          <w:szCs w:val="24"/>
        </w:rPr>
        <w:t xml:space="preserve">in Article I, Section 13 of the Pennsylvania Constitution also requires that the Court consider a defendant’s ability to pay a fine. </w:t>
      </w:r>
      <w:r w:rsidR="00CA0209" w:rsidRPr="00CA0209">
        <w:rPr>
          <w:sz w:val="24"/>
          <w:szCs w:val="24"/>
        </w:rPr>
        <w:t>The relevant question under</w:t>
      </w:r>
      <w:r w:rsidR="00CA0209">
        <w:rPr>
          <w:sz w:val="24"/>
          <w:szCs w:val="24"/>
        </w:rPr>
        <w:t xml:space="preserve"> Pennsylvania’s</w:t>
      </w:r>
      <w:r w:rsidR="00CA0209" w:rsidRPr="00CA0209">
        <w:rPr>
          <w:sz w:val="24"/>
          <w:szCs w:val="24"/>
        </w:rPr>
        <w:t xml:space="preserve"> Excessive Fines Clause jurisprudence—whether a fine is proportional to the gravity of the offense—includes consideration of whether it “would deprive the property owner of his or her livelihood,” </w:t>
      </w:r>
      <w:r w:rsidR="00CA0209" w:rsidRPr="00CA0209">
        <w:rPr>
          <w:i/>
          <w:sz w:val="24"/>
          <w:szCs w:val="24"/>
        </w:rPr>
        <w:t>i.e</w:t>
      </w:r>
      <w:r w:rsidR="00CA0209" w:rsidRPr="00CA0209">
        <w:rPr>
          <w:sz w:val="24"/>
          <w:szCs w:val="24"/>
        </w:rPr>
        <w:t>. “his current or fut</w:t>
      </w:r>
      <w:r w:rsidR="00CA7642">
        <w:rPr>
          <w:sz w:val="24"/>
          <w:szCs w:val="24"/>
        </w:rPr>
        <w:t xml:space="preserve">ure ability to earn a living.” </w:t>
      </w:r>
      <w:r w:rsidR="00CA0209" w:rsidRPr="00CA0209">
        <w:rPr>
          <w:i/>
          <w:sz w:val="24"/>
          <w:szCs w:val="24"/>
        </w:rPr>
        <w:t>Commonwealth v. 1997 Chevrolet &amp; Contents Seized from Young</w:t>
      </w:r>
      <w:r w:rsidR="00CA0209" w:rsidRPr="00CA0209">
        <w:rPr>
          <w:sz w:val="24"/>
          <w:szCs w:val="24"/>
        </w:rPr>
        <w:t xml:space="preserve">, 160 A.3d 153, 189 (2017) (citation and internal quotation marks omitted). </w:t>
      </w:r>
      <w:r w:rsidR="00CA0209" w:rsidRPr="00CA0209">
        <w:rPr>
          <w:i/>
          <w:sz w:val="24"/>
          <w:szCs w:val="24"/>
        </w:rPr>
        <w:t>See</w:t>
      </w:r>
      <w:r w:rsidR="00CA0209">
        <w:rPr>
          <w:sz w:val="24"/>
          <w:szCs w:val="24"/>
        </w:rPr>
        <w:t xml:space="preserve"> </w:t>
      </w:r>
      <w:r w:rsidR="00CA0209">
        <w:rPr>
          <w:i/>
          <w:sz w:val="24"/>
          <w:szCs w:val="24"/>
        </w:rPr>
        <w:t>also</w:t>
      </w:r>
      <w:r w:rsidR="00CA0209" w:rsidRPr="00CA0209">
        <w:rPr>
          <w:sz w:val="24"/>
          <w:szCs w:val="24"/>
        </w:rPr>
        <w:t xml:space="preserve"> </w:t>
      </w:r>
      <w:r w:rsidR="00CA0209" w:rsidRPr="00CA0209">
        <w:rPr>
          <w:i/>
          <w:iCs/>
          <w:sz w:val="24"/>
          <w:szCs w:val="24"/>
        </w:rPr>
        <w:t xml:space="preserve">Commonwealth v. </w:t>
      </w:r>
      <w:proofErr w:type="spellStart"/>
      <w:r w:rsidR="00CA0209" w:rsidRPr="00CA0209">
        <w:rPr>
          <w:i/>
          <w:sz w:val="24"/>
          <w:szCs w:val="24"/>
        </w:rPr>
        <w:t>Heggenstaller</w:t>
      </w:r>
      <w:proofErr w:type="spellEnd"/>
      <w:r w:rsidR="00CA0209" w:rsidRPr="00CA0209">
        <w:rPr>
          <w:sz w:val="24"/>
          <w:szCs w:val="24"/>
        </w:rPr>
        <w:t>, 699 A.2d 767, 769 (Pa. Super. Ct. 1997) (Pennsylvania’s Excessive Fines Clause requires that a court consider “the individual’s ability to pay.”).</w:t>
      </w:r>
    </w:p>
    <w:p w14:paraId="562C5980" w14:textId="2A6EBD18" w:rsidR="007B3248" w:rsidRPr="00A82CC4" w:rsidRDefault="007B3248" w:rsidP="005419B6">
      <w:pPr>
        <w:pStyle w:val="FootnoteText"/>
        <w:numPr>
          <w:ilvl w:val="0"/>
          <w:numId w:val="4"/>
        </w:numPr>
        <w:rPr>
          <w:b/>
          <w:sz w:val="24"/>
          <w:szCs w:val="24"/>
        </w:rPr>
      </w:pPr>
      <w:commentRangeStart w:id="3"/>
      <w:r w:rsidRPr="007B3248">
        <w:rPr>
          <w:b/>
          <w:sz w:val="24"/>
          <w:szCs w:val="24"/>
        </w:rPr>
        <w:t>S</w:t>
      </w:r>
      <w:r w:rsidR="00515F82">
        <w:rPr>
          <w:b/>
          <w:sz w:val="24"/>
          <w:szCs w:val="24"/>
        </w:rPr>
        <w:t xml:space="preserve">ection 9726, </w:t>
      </w:r>
      <w:r>
        <w:rPr>
          <w:b/>
          <w:sz w:val="24"/>
          <w:szCs w:val="24"/>
        </w:rPr>
        <w:t>Rule 706(C)</w:t>
      </w:r>
      <w:r w:rsidR="00515F82">
        <w:rPr>
          <w:b/>
          <w:sz w:val="24"/>
          <w:szCs w:val="24"/>
        </w:rPr>
        <w:t>, and the Excessive Fines Clause</w:t>
      </w:r>
      <w:r w:rsidR="00A82CC4">
        <w:rPr>
          <w:b/>
          <w:sz w:val="24"/>
          <w:szCs w:val="24"/>
        </w:rPr>
        <w:t xml:space="preserve"> require that the Court consider Mr. </w:t>
      </w:r>
      <w:r w:rsidR="00A82CC4" w:rsidRPr="004A04A6">
        <w:rPr>
          <w:b/>
          <w:color w:val="FF0000"/>
          <w:sz w:val="24"/>
          <w:szCs w:val="24"/>
        </w:rPr>
        <w:t>Doe’s</w:t>
      </w:r>
      <w:r w:rsidR="00A82CC4">
        <w:rPr>
          <w:b/>
          <w:sz w:val="24"/>
          <w:szCs w:val="24"/>
        </w:rPr>
        <w:t xml:space="preserve"> ability to pay fines that are “mandatory”</w:t>
      </w:r>
      <w:commentRangeEnd w:id="3"/>
      <w:r w:rsidR="00331363">
        <w:rPr>
          <w:b/>
          <w:sz w:val="24"/>
          <w:szCs w:val="24"/>
        </w:rPr>
        <w:t xml:space="preserve"> and only impose a fine that it finds the Defendant can pay</w:t>
      </w:r>
      <w:r w:rsidR="002C0F31">
        <w:rPr>
          <w:rStyle w:val="CommentReference"/>
          <w:rFonts w:eastAsiaTheme="minorEastAsia" w:cs="Times New Roman"/>
        </w:rPr>
        <w:commentReference w:id="3"/>
      </w:r>
      <w:r w:rsidR="00760D84">
        <w:rPr>
          <w:b/>
          <w:sz w:val="24"/>
          <w:szCs w:val="24"/>
        </w:rPr>
        <w:t>.</w:t>
      </w:r>
    </w:p>
    <w:p w14:paraId="5621F63A" w14:textId="77777777" w:rsidR="00A82CC4" w:rsidRDefault="00A82CC4" w:rsidP="00A82CC4">
      <w:pPr>
        <w:pStyle w:val="FootnoteText"/>
        <w:rPr>
          <w:sz w:val="24"/>
          <w:szCs w:val="24"/>
        </w:rPr>
      </w:pPr>
    </w:p>
    <w:p w14:paraId="7F59634F" w14:textId="77B4ED59" w:rsidR="00A82CC4" w:rsidRDefault="00EF544C" w:rsidP="00EF544C">
      <w:pPr>
        <w:pStyle w:val="FootnoteText"/>
        <w:numPr>
          <w:ilvl w:val="0"/>
          <w:numId w:val="2"/>
        </w:numPr>
        <w:spacing w:line="480" w:lineRule="auto"/>
        <w:rPr>
          <w:sz w:val="24"/>
          <w:szCs w:val="24"/>
        </w:rPr>
      </w:pPr>
      <w:r>
        <w:rPr>
          <w:sz w:val="24"/>
          <w:szCs w:val="24"/>
        </w:rPr>
        <w:t>The statutory</w:t>
      </w:r>
      <w:r w:rsidR="00486346">
        <w:rPr>
          <w:sz w:val="24"/>
          <w:szCs w:val="24"/>
        </w:rPr>
        <w:t>, rules-based, and constitutional</w:t>
      </w:r>
      <w:r>
        <w:rPr>
          <w:sz w:val="24"/>
          <w:szCs w:val="24"/>
        </w:rPr>
        <w:t xml:space="preserve"> requirement</w:t>
      </w:r>
      <w:r w:rsidR="00486346">
        <w:rPr>
          <w:sz w:val="24"/>
          <w:szCs w:val="24"/>
        </w:rPr>
        <w:t>s</w:t>
      </w:r>
      <w:r>
        <w:rPr>
          <w:sz w:val="24"/>
          <w:szCs w:val="24"/>
        </w:rPr>
        <w:t xml:space="preserve"> to </w:t>
      </w:r>
      <w:r w:rsidR="00486346">
        <w:rPr>
          <w:sz w:val="24"/>
          <w:szCs w:val="24"/>
        </w:rPr>
        <w:t xml:space="preserve">consider </w:t>
      </w:r>
      <w:r w:rsidRPr="007B3248">
        <w:rPr>
          <w:sz w:val="24"/>
          <w:szCs w:val="24"/>
        </w:rPr>
        <w:t>the financial resources of the defendant and the nature of the burden</w:t>
      </w:r>
      <w:r w:rsidR="00486346">
        <w:rPr>
          <w:sz w:val="24"/>
          <w:szCs w:val="24"/>
        </w:rPr>
        <w:t xml:space="preserve"> the </w:t>
      </w:r>
      <w:r>
        <w:rPr>
          <w:sz w:val="24"/>
          <w:szCs w:val="24"/>
        </w:rPr>
        <w:t xml:space="preserve">fine will impose applies both to fines that are discretionary and those that are otherwise mandatory. </w:t>
      </w:r>
      <w:r w:rsidR="003F3AD0">
        <w:rPr>
          <w:i/>
          <w:sz w:val="24"/>
          <w:szCs w:val="24"/>
        </w:rPr>
        <w:t xml:space="preserve">See </w:t>
      </w:r>
      <w:r w:rsidR="00113056">
        <w:rPr>
          <w:sz w:val="24"/>
          <w:szCs w:val="24"/>
        </w:rPr>
        <w:t xml:space="preserve">42 </w:t>
      </w:r>
      <w:proofErr w:type="spellStart"/>
      <w:r w:rsidR="00113056">
        <w:rPr>
          <w:sz w:val="24"/>
          <w:szCs w:val="24"/>
        </w:rPr>
        <w:t>Pa.C.S</w:t>
      </w:r>
      <w:proofErr w:type="spellEnd"/>
      <w:r w:rsidR="008C76D4">
        <w:rPr>
          <w:sz w:val="24"/>
          <w:szCs w:val="24"/>
        </w:rPr>
        <w:t>. § 9726</w:t>
      </w:r>
      <w:r w:rsidR="003F3AD0">
        <w:rPr>
          <w:sz w:val="24"/>
          <w:szCs w:val="24"/>
        </w:rPr>
        <w:t xml:space="preserve">(c) and </w:t>
      </w:r>
      <w:r w:rsidR="008C76D4">
        <w:rPr>
          <w:sz w:val="24"/>
          <w:szCs w:val="24"/>
        </w:rPr>
        <w:t>(d)</w:t>
      </w:r>
      <w:r w:rsidR="003F3AD0">
        <w:rPr>
          <w:sz w:val="24"/>
          <w:szCs w:val="24"/>
        </w:rPr>
        <w:t xml:space="preserve">; </w:t>
      </w:r>
      <w:proofErr w:type="spellStart"/>
      <w:r w:rsidR="003F3AD0">
        <w:rPr>
          <w:sz w:val="24"/>
          <w:szCs w:val="24"/>
        </w:rPr>
        <w:t>Pa.R.Crim.P</w:t>
      </w:r>
      <w:proofErr w:type="spellEnd"/>
      <w:r w:rsidR="003F3AD0">
        <w:rPr>
          <w:sz w:val="24"/>
          <w:szCs w:val="24"/>
        </w:rPr>
        <w:t>. 706(C)</w:t>
      </w:r>
      <w:r w:rsidR="00866E36">
        <w:rPr>
          <w:sz w:val="24"/>
          <w:szCs w:val="24"/>
        </w:rPr>
        <w:t>; Pa Const. Art. I, § 13</w:t>
      </w:r>
      <w:r w:rsidR="00C74B96">
        <w:rPr>
          <w:sz w:val="24"/>
          <w:szCs w:val="24"/>
        </w:rPr>
        <w:t>. Thus, the fine that would ordinarily be imposed</w:t>
      </w:r>
      <w:r w:rsidR="00C77910">
        <w:rPr>
          <w:sz w:val="24"/>
          <w:szCs w:val="24"/>
        </w:rPr>
        <w:t xml:space="preserve"> under</w:t>
      </w:r>
      <w:r w:rsidR="00C74B96">
        <w:rPr>
          <w:sz w:val="24"/>
          <w:szCs w:val="24"/>
        </w:rPr>
        <w:t xml:space="preserve"> </w:t>
      </w:r>
      <w:r w:rsidR="00C74B96" w:rsidRPr="00C74B96">
        <w:rPr>
          <w:color w:val="FF0000"/>
          <w:sz w:val="24"/>
          <w:szCs w:val="24"/>
        </w:rPr>
        <w:t>[relevant statutory section</w:t>
      </w:r>
      <w:r w:rsidR="00C74B96">
        <w:rPr>
          <w:color w:val="FF0000"/>
          <w:sz w:val="24"/>
          <w:szCs w:val="24"/>
        </w:rPr>
        <w:t xml:space="preserve"> for whatever the defendant was </w:t>
      </w:r>
      <w:r w:rsidR="00C74B96">
        <w:rPr>
          <w:color w:val="FF0000"/>
          <w:sz w:val="24"/>
          <w:szCs w:val="24"/>
        </w:rPr>
        <w:lastRenderedPageBreak/>
        <w:t>convicted of</w:t>
      </w:r>
      <w:r w:rsidR="00C74B96" w:rsidRPr="00C74B96">
        <w:rPr>
          <w:color w:val="FF0000"/>
          <w:sz w:val="24"/>
          <w:szCs w:val="24"/>
        </w:rPr>
        <w:t>]</w:t>
      </w:r>
      <w:r w:rsidR="00C74B96">
        <w:rPr>
          <w:sz w:val="24"/>
          <w:szCs w:val="24"/>
        </w:rPr>
        <w:t xml:space="preserve"> </w:t>
      </w:r>
      <w:r w:rsidR="00C77910">
        <w:rPr>
          <w:sz w:val="24"/>
          <w:szCs w:val="24"/>
        </w:rPr>
        <w:t xml:space="preserve">can only be imposed if this Court determines that Mr. </w:t>
      </w:r>
      <w:r w:rsidR="00C77910" w:rsidRPr="00C77910">
        <w:rPr>
          <w:color w:val="FF0000"/>
          <w:sz w:val="24"/>
          <w:szCs w:val="24"/>
        </w:rPr>
        <w:t xml:space="preserve">Doe </w:t>
      </w:r>
      <w:r w:rsidR="00C77910">
        <w:rPr>
          <w:sz w:val="24"/>
          <w:szCs w:val="24"/>
        </w:rPr>
        <w:t xml:space="preserve">is or will be able to afford to pay it. </w:t>
      </w:r>
    </w:p>
    <w:p w14:paraId="6D9584CE" w14:textId="41151CEC" w:rsidR="00646278" w:rsidRDefault="00646278" w:rsidP="00646278">
      <w:pPr>
        <w:pStyle w:val="FootnoteText"/>
        <w:numPr>
          <w:ilvl w:val="0"/>
          <w:numId w:val="2"/>
        </w:numPr>
        <w:spacing w:line="480" w:lineRule="auto"/>
        <w:rPr>
          <w:sz w:val="24"/>
          <w:szCs w:val="24"/>
        </w:rPr>
      </w:pPr>
      <w:r>
        <w:rPr>
          <w:sz w:val="24"/>
          <w:szCs w:val="24"/>
        </w:rPr>
        <w:t xml:space="preserve">The Superior Court reached a different conclusion in </w:t>
      </w:r>
      <w:r>
        <w:rPr>
          <w:i/>
          <w:sz w:val="24"/>
          <w:szCs w:val="24"/>
        </w:rPr>
        <w:t xml:space="preserve">Commonwealth v. </w:t>
      </w:r>
      <w:proofErr w:type="spellStart"/>
      <w:r>
        <w:rPr>
          <w:i/>
          <w:sz w:val="24"/>
          <w:szCs w:val="24"/>
        </w:rPr>
        <w:t>Cherpes</w:t>
      </w:r>
      <w:proofErr w:type="spellEnd"/>
      <w:r>
        <w:rPr>
          <w:sz w:val="24"/>
          <w:szCs w:val="24"/>
        </w:rPr>
        <w:t>, 520 A.2d 439, 449 (Pa. Super. Ct. 1987), ruling that “</w:t>
      </w:r>
      <w:r w:rsidRPr="00646278">
        <w:rPr>
          <w:sz w:val="24"/>
          <w:szCs w:val="24"/>
        </w:rPr>
        <w:t>specific penalty provisions prevail over more general penalty provisions</w:t>
      </w:r>
      <w:r>
        <w:rPr>
          <w:sz w:val="24"/>
          <w:szCs w:val="24"/>
        </w:rPr>
        <w:t>” as a matter of statutory construction.” The court reasoned that § 9726 is general, but a statute imposing a specific fine is specific and thus the specific governs as a matter of statutory authority.</w:t>
      </w:r>
    </w:p>
    <w:p w14:paraId="620372A2" w14:textId="58B2845B" w:rsidR="00646278" w:rsidRDefault="00646278" w:rsidP="00646278">
      <w:pPr>
        <w:pStyle w:val="FootnoteText"/>
        <w:numPr>
          <w:ilvl w:val="0"/>
          <w:numId w:val="2"/>
        </w:numPr>
        <w:spacing w:line="480" w:lineRule="auto"/>
        <w:rPr>
          <w:sz w:val="24"/>
          <w:szCs w:val="24"/>
        </w:rPr>
      </w:pPr>
      <w:proofErr w:type="spellStart"/>
      <w:r>
        <w:rPr>
          <w:i/>
          <w:sz w:val="24"/>
          <w:szCs w:val="24"/>
        </w:rPr>
        <w:t>Cherpes</w:t>
      </w:r>
      <w:proofErr w:type="spellEnd"/>
      <w:r>
        <w:rPr>
          <w:sz w:val="24"/>
          <w:szCs w:val="24"/>
        </w:rPr>
        <w:t xml:space="preserve"> is wrong</w:t>
      </w:r>
      <w:r w:rsidR="00275E7B">
        <w:rPr>
          <w:sz w:val="24"/>
          <w:szCs w:val="24"/>
        </w:rPr>
        <w:t xml:space="preserve"> and should be cabined to its specific facts and specific sentencing statute</w:t>
      </w:r>
      <w:r>
        <w:rPr>
          <w:sz w:val="24"/>
          <w:szCs w:val="24"/>
        </w:rPr>
        <w:t xml:space="preserve">. Statutes addressing the same topic, such as fines, must be read </w:t>
      </w:r>
      <w:r>
        <w:rPr>
          <w:i/>
          <w:sz w:val="24"/>
          <w:szCs w:val="24"/>
        </w:rPr>
        <w:t xml:space="preserve">in </w:t>
      </w:r>
      <w:proofErr w:type="spellStart"/>
      <w:r>
        <w:rPr>
          <w:i/>
          <w:sz w:val="24"/>
          <w:szCs w:val="24"/>
        </w:rPr>
        <w:t>pari</w:t>
      </w:r>
      <w:proofErr w:type="spellEnd"/>
      <w:r>
        <w:rPr>
          <w:i/>
          <w:sz w:val="24"/>
          <w:szCs w:val="24"/>
        </w:rPr>
        <w:t xml:space="preserve"> </w:t>
      </w:r>
      <w:proofErr w:type="spellStart"/>
      <w:r>
        <w:rPr>
          <w:i/>
          <w:sz w:val="24"/>
          <w:szCs w:val="24"/>
        </w:rPr>
        <w:t>materia</w:t>
      </w:r>
      <w:proofErr w:type="spellEnd"/>
      <w:r>
        <w:rPr>
          <w:sz w:val="24"/>
          <w:szCs w:val="24"/>
        </w:rPr>
        <w:t>, and “</w:t>
      </w:r>
      <w:r w:rsidRPr="002F6989">
        <w:rPr>
          <w:sz w:val="24"/>
          <w:szCs w:val="24"/>
        </w:rPr>
        <w:t>a “general provision in a statute shall be in conflict with a special provision in the same or another statute, the two shall be construed, if possible, so that eff</w:t>
      </w:r>
      <w:r w:rsidR="007C7FE7">
        <w:rPr>
          <w:sz w:val="24"/>
          <w:szCs w:val="24"/>
        </w:rPr>
        <w:t xml:space="preserve">ect may be given to both.” 1 </w:t>
      </w:r>
      <w:proofErr w:type="spellStart"/>
      <w:r w:rsidR="007C7FE7">
        <w:rPr>
          <w:sz w:val="24"/>
          <w:szCs w:val="24"/>
        </w:rPr>
        <w:t>Pa</w:t>
      </w:r>
      <w:r w:rsidRPr="002F6989">
        <w:rPr>
          <w:sz w:val="24"/>
          <w:szCs w:val="24"/>
        </w:rPr>
        <w:t>.</w:t>
      </w:r>
      <w:r w:rsidR="007C7FE7">
        <w:rPr>
          <w:sz w:val="24"/>
          <w:szCs w:val="24"/>
        </w:rPr>
        <w:t>C.S</w:t>
      </w:r>
      <w:proofErr w:type="spellEnd"/>
      <w:r w:rsidR="007C7FE7">
        <w:rPr>
          <w:sz w:val="24"/>
          <w:szCs w:val="24"/>
        </w:rPr>
        <w:t>.</w:t>
      </w:r>
      <w:r w:rsidRPr="002F6989">
        <w:rPr>
          <w:sz w:val="24"/>
          <w:szCs w:val="24"/>
        </w:rPr>
        <w:t xml:space="preserve"> §</w:t>
      </w:r>
      <w:r>
        <w:rPr>
          <w:sz w:val="24"/>
          <w:szCs w:val="24"/>
        </w:rPr>
        <w:t>§ 1932,</w:t>
      </w:r>
      <w:r w:rsidRPr="002F6989">
        <w:rPr>
          <w:sz w:val="24"/>
          <w:szCs w:val="24"/>
        </w:rPr>
        <w:t xml:space="preserve"> 1933.</w:t>
      </w:r>
      <w:r>
        <w:rPr>
          <w:sz w:val="24"/>
          <w:szCs w:val="24"/>
        </w:rPr>
        <w:t xml:space="preserve"> The specific prevails over general not if there is a conflict—but </w:t>
      </w:r>
      <w:r>
        <w:rPr>
          <w:i/>
          <w:sz w:val="24"/>
          <w:szCs w:val="24"/>
        </w:rPr>
        <w:t>only if</w:t>
      </w:r>
      <w:r>
        <w:rPr>
          <w:sz w:val="24"/>
          <w:szCs w:val="24"/>
        </w:rPr>
        <w:t xml:space="preserve"> the conflict is </w:t>
      </w:r>
      <w:r w:rsidR="005A104C">
        <w:rPr>
          <w:sz w:val="24"/>
          <w:szCs w:val="24"/>
        </w:rPr>
        <w:t>“</w:t>
      </w:r>
      <w:r>
        <w:rPr>
          <w:sz w:val="24"/>
          <w:szCs w:val="24"/>
        </w:rPr>
        <w:t>irreconcilable.</w:t>
      </w:r>
      <w:r w:rsidR="005A104C">
        <w:rPr>
          <w:sz w:val="24"/>
          <w:szCs w:val="24"/>
        </w:rPr>
        <w:t>”</w:t>
      </w:r>
      <w:r>
        <w:rPr>
          <w:sz w:val="24"/>
          <w:szCs w:val="24"/>
        </w:rPr>
        <w:t xml:space="preserve"> </w:t>
      </w:r>
      <w:r>
        <w:rPr>
          <w:i/>
          <w:sz w:val="24"/>
          <w:szCs w:val="24"/>
        </w:rPr>
        <w:t>Id</w:t>
      </w:r>
      <w:r>
        <w:rPr>
          <w:sz w:val="24"/>
          <w:szCs w:val="24"/>
        </w:rPr>
        <w:t xml:space="preserve">. at § 1933. The </w:t>
      </w:r>
      <w:proofErr w:type="spellStart"/>
      <w:r>
        <w:rPr>
          <w:i/>
          <w:sz w:val="24"/>
          <w:szCs w:val="24"/>
        </w:rPr>
        <w:t>Cherpes</w:t>
      </w:r>
      <w:proofErr w:type="spellEnd"/>
      <w:r>
        <w:rPr>
          <w:sz w:val="24"/>
          <w:szCs w:val="24"/>
        </w:rPr>
        <w:t xml:space="preserve"> court ignored that “irreconcilable” caveat, and it therefore erred in its conclusion.</w:t>
      </w:r>
      <w:r w:rsidR="00192696">
        <w:rPr>
          <w:rStyle w:val="FootnoteReference"/>
          <w:sz w:val="24"/>
          <w:szCs w:val="24"/>
        </w:rPr>
        <w:footnoteReference w:id="1"/>
      </w:r>
      <w:r>
        <w:rPr>
          <w:sz w:val="24"/>
          <w:szCs w:val="24"/>
        </w:rPr>
        <w:t xml:space="preserve"> </w:t>
      </w:r>
    </w:p>
    <w:p w14:paraId="3520E5B3" w14:textId="3C6C0298" w:rsidR="00822F59" w:rsidRDefault="00822F59" w:rsidP="000D69CE">
      <w:pPr>
        <w:pStyle w:val="FootnoteText"/>
        <w:numPr>
          <w:ilvl w:val="0"/>
          <w:numId w:val="2"/>
        </w:numPr>
        <w:spacing w:line="480" w:lineRule="auto"/>
        <w:rPr>
          <w:sz w:val="24"/>
          <w:szCs w:val="24"/>
        </w:rPr>
      </w:pPr>
      <w:r>
        <w:rPr>
          <w:sz w:val="24"/>
          <w:szCs w:val="24"/>
        </w:rPr>
        <w:t xml:space="preserve">Moreover, </w:t>
      </w:r>
      <w:proofErr w:type="spellStart"/>
      <w:r>
        <w:rPr>
          <w:i/>
          <w:sz w:val="24"/>
          <w:szCs w:val="24"/>
        </w:rPr>
        <w:t>Cherpes</w:t>
      </w:r>
      <w:proofErr w:type="spellEnd"/>
      <w:r>
        <w:rPr>
          <w:sz w:val="24"/>
          <w:szCs w:val="24"/>
        </w:rPr>
        <w:t xml:space="preserve">—which predated the Supreme Court’s ruling in </w:t>
      </w:r>
      <w:r w:rsidRPr="00CA0209">
        <w:rPr>
          <w:i/>
          <w:sz w:val="24"/>
          <w:szCs w:val="24"/>
        </w:rPr>
        <w:t>1997 Chevrolet</w:t>
      </w:r>
      <w:r>
        <w:rPr>
          <w:sz w:val="24"/>
          <w:szCs w:val="24"/>
        </w:rPr>
        <w:t xml:space="preserve"> and the Superior Courts instruction in </w:t>
      </w:r>
      <w:proofErr w:type="spellStart"/>
      <w:r w:rsidRPr="00CA0209">
        <w:rPr>
          <w:i/>
          <w:sz w:val="24"/>
          <w:szCs w:val="24"/>
        </w:rPr>
        <w:t>Heggenstaller</w:t>
      </w:r>
      <w:proofErr w:type="spellEnd"/>
      <w:r>
        <w:rPr>
          <w:sz w:val="24"/>
          <w:szCs w:val="24"/>
        </w:rPr>
        <w:t>—did not addr</w:t>
      </w:r>
      <w:r w:rsidR="00E25A62">
        <w:rPr>
          <w:sz w:val="24"/>
          <w:szCs w:val="24"/>
        </w:rPr>
        <w:t>ess the Excessive Fines Clause, which does require considering ability to pay.</w:t>
      </w:r>
      <w:r w:rsidR="000D69CE">
        <w:rPr>
          <w:sz w:val="24"/>
          <w:szCs w:val="24"/>
        </w:rPr>
        <w:t xml:space="preserve"> </w:t>
      </w:r>
      <w:r w:rsidR="000D69CE">
        <w:rPr>
          <w:i/>
          <w:sz w:val="24"/>
          <w:szCs w:val="24"/>
        </w:rPr>
        <w:t>See Commonwealth v. Eisenberg</w:t>
      </w:r>
      <w:r w:rsidR="000D69CE">
        <w:rPr>
          <w:sz w:val="24"/>
          <w:szCs w:val="24"/>
        </w:rPr>
        <w:t>, 98 A.3d 1268, 1281 (Pa. 2014) (explaining that in “</w:t>
      </w:r>
      <w:r w:rsidR="000D69CE" w:rsidRPr="000D69CE">
        <w:rPr>
          <w:sz w:val="24"/>
          <w:szCs w:val="24"/>
        </w:rPr>
        <w:t>the mid–1990s, this Court began to more critically analyze the Excessive Fines Clause</w:t>
      </w:r>
      <w:r w:rsidR="000D69CE">
        <w:rPr>
          <w:sz w:val="24"/>
          <w:szCs w:val="24"/>
        </w:rPr>
        <w:t>”).</w:t>
      </w:r>
      <w:r w:rsidR="00E25A62">
        <w:rPr>
          <w:sz w:val="24"/>
          <w:szCs w:val="24"/>
        </w:rPr>
        <w:t xml:space="preserve"> </w:t>
      </w:r>
      <w:r w:rsidR="009877AF">
        <w:rPr>
          <w:sz w:val="24"/>
          <w:szCs w:val="24"/>
        </w:rPr>
        <w:t>That Clause necessarily sets the floor by which § 9726 and Rule 706 must be interpreted.</w:t>
      </w:r>
    </w:p>
    <w:p w14:paraId="2D650105" w14:textId="332F4F09" w:rsidR="002F6989" w:rsidRPr="00830085" w:rsidRDefault="006B5502" w:rsidP="00830085">
      <w:pPr>
        <w:pStyle w:val="FootnoteText"/>
        <w:numPr>
          <w:ilvl w:val="0"/>
          <w:numId w:val="2"/>
        </w:numPr>
        <w:spacing w:line="480" w:lineRule="auto"/>
        <w:rPr>
          <w:sz w:val="24"/>
          <w:szCs w:val="24"/>
        </w:rPr>
      </w:pPr>
      <w:r w:rsidRPr="006B5502">
        <w:rPr>
          <w:sz w:val="24"/>
          <w:szCs w:val="24"/>
        </w:rPr>
        <w:lastRenderedPageBreak/>
        <w:t xml:space="preserve">The statutory language in </w:t>
      </w:r>
      <w:r w:rsidR="007773A2">
        <w:rPr>
          <w:color w:val="FF0000"/>
          <w:sz w:val="24"/>
          <w:szCs w:val="24"/>
        </w:rPr>
        <w:t>[r</w:t>
      </w:r>
      <w:r w:rsidRPr="006B5502">
        <w:rPr>
          <w:color w:val="FF0000"/>
          <w:sz w:val="24"/>
          <w:szCs w:val="24"/>
        </w:rPr>
        <w:t xml:space="preserve">elevant statutory section for whatever the defendant was convicted of] </w:t>
      </w:r>
      <w:r w:rsidRPr="006B5502">
        <w:rPr>
          <w:sz w:val="24"/>
          <w:szCs w:val="24"/>
        </w:rPr>
        <w:t>can easily be read together with § 9726</w:t>
      </w:r>
      <w:r w:rsidR="00D71D7F">
        <w:rPr>
          <w:sz w:val="24"/>
          <w:szCs w:val="24"/>
        </w:rPr>
        <w:t xml:space="preserve"> and Rule 706</w:t>
      </w:r>
      <w:r w:rsidRPr="006B5502">
        <w:rPr>
          <w:sz w:val="24"/>
          <w:szCs w:val="24"/>
        </w:rPr>
        <w:t xml:space="preserve"> without being irreconcilable: the Court must impose that statutory fine </w:t>
      </w:r>
      <w:r w:rsidRPr="006B5502">
        <w:rPr>
          <w:i/>
          <w:sz w:val="24"/>
          <w:szCs w:val="24"/>
        </w:rPr>
        <w:t>unless the defendant cannot afford it</w:t>
      </w:r>
      <w:r w:rsidRPr="006B5502">
        <w:rPr>
          <w:sz w:val="24"/>
          <w:szCs w:val="24"/>
        </w:rPr>
        <w:t xml:space="preserve"> under § 9726</w:t>
      </w:r>
      <w:r w:rsidR="00D71D7F">
        <w:rPr>
          <w:sz w:val="24"/>
          <w:szCs w:val="24"/>
        </w:rPr>
        <w:t xml:space="preserve"> and Rule 706</w:t>
      </w:r>
      <w:r w:rsidRPr="006B5502">
        <w:rPr>
          <w:sz w:val="24"/>
          <w:szCs w:val="24"/>
        </w:rPr>
        <w:t>.</w:t>
      </w:r>
      <w:r>
        <w:rPr>
          <w:sz w:val="24"/>
          <w:szCs w:val="24"/>
        </w:rPr>
        <w:t xml:space="preserve"> </w:t>
      </w:r>
      <w:r w:rsidR="00646278" w:rsidRPr="006B5502">
        <w:rPr>
          <w:sz w:val="24"/>
          <w:szCs w:val="24"/>
        </w:rPr>
        <w:t xml:space="preserve">While this Court may feel bound by </w:t>
      </w:r>
      <w:proofErr w:type="spellStart"/>
      <w:r w:rsidR="00646278" w:rsidRPr="006B5502">
        <w:rPr>
          <w:i/>
          <w:sz w:val="24"/>
          <w:szCs w:val="24"/>
        </w:rPr>
        <w:t>Cherpes</w:t>
      </w:r>
      <w:proofErr w:type="spellEnd"/>
      <w:r w:rsidR="00646278" w:rsidRPr="006B5502">
        <w:rPr>
          <w:sz w:val="24"/>
          <w:szCs w:val="24"/>
        </w:rPr>
        <w:t xml:space="preserve">, the correct interpretation of the statutes governing statutory interpretation compels considering </w:t>
      </w:r>
      <w:r w:rsidR="00646278" w:rsidRPr="006B5502">
        <w:rPr>
          <w:color w:val="FF0000"/>
          <w:sz w:val="24"/>
          <w:szCs w:val="24"/>
        </w:rPr>
        <w:t xml:space="preserve">Doe’s </w:t>
      </w:r>
      <w:r w:rsidR="00646278" w:rsidRPr="006B5502">
        <w:rPr>
          <w:sz w:val="24"/>
          <w:szCs w:val="24"/>
        </w:rPr>
        <w:t>ability to pay before imposing this fine</w:t>
      </w:r>
      <w:r w:rsidR="009F474B">
        <w:rPr>
          <w:sz w:val="24"/>
          <w:szCs w:val="24"/>
        </w:rPr>
        <w:t>.</w:t>
      </w:r>
      <w:r w:rsidR="001D5769">
        <w:rPr>
          <w:rStyle w:val="FootnoteReference"/>
          <w:sz w:val="24"/>
          <w:szCs w:val="24"/>
        </w:rPr>
        <w:footnoteReference w:id="2"/>
      </w:r>
      <w:r w:rsidR="009F474B">
        <w:rPr>
          <w:sz w:val="24"/>
          <w:szCs w:val="24"/>
        </w:rPr>
        <w:t xml:space="preserve"> As, too, does the Constitution</w:t>
      </w:r>
      <w:r w:rsidR="00453C72">
        <w:rPr>
          <w:sz w:val="24"/>
          <w:szCs w:val="24"/>
        </w:rPr>
        <w:t>.</w:t>
      </w:r>
      <w:r w:rsidR="002F6989" w:rsidRPr="00830085">
        <w:rPr>
          <w:sz w:val="24"/>
          <w:szCs w:val="24"/>
        </w:rPr>
        <w:t xml:space="preserve">  </w:t>
      </w:r>
    </w:p>
    <w:p w14:paraId="780D7BE4" w14:textId="267D48D5" w:rsidR="000D4747" w:rsidRPr="007B3248" w:rsidRDefault="000D4747" w:rsidP="005419B6">
      <w:pPr>
        <w:pStyle w:val="FootnoteText"/>
        <w:numPr>
          <w:ilvl w:val="0"/>
          <w:numId w:val="4"/>
        </w:numPr>
        <w:rPr>
          <w:b/>
          <w:sz w:val="24"/>
          <w:szCs w:val="24"/>
        </w:rPr>
      </w:pPr>
      <w:commentRangeStart w:id="4"/>
      <w:r w:rsidRPr="007B3248">
        <w:rPr>
          <w:b/>
          <w:sz w:val="24"/>
          <w:szCs w:val="24"/>
        </w:rPr>
        <w:t xml:space="preserve">This Court </w:t>
      </w:r>
      <w:r w:rsidR="009D6917" w:rsidRPr="007B3248">
        <w:rPr>
          <w:b/>
          <w:sz w:val="24"/>
          <w:szCs w:val="24"/>
        </w:rPr>
        <w:t>should not impose a fine on</w:t>
      </w:r>
      <w:r w:rsidRPr="007B3248">
        <w:rPr>
          <w:b/>
          <w:sz w:val="24"/>
          <w:szCs w:val="24"/>
        </w:rPr>
        <w:t xml:space="preserve"> </w:t>
      </w:r>
      <w:r w:rsidR="00807101" w:rsidRPr="007B3248">
        <w:rPr>
          <w:b/>
          <w:sz w:val="24"/>
          <w:szCs w:val="24"/>
        </w:rPr>
        <w:t xml:space="preserve">Mr. </w:t>
      </w:r>
      <w:r w:rsidR="00807101" w:rsidRPr="007B3248">
        <w:rPr>
          <w:b/>
          <w:color w:val="FF0000"/>
          <w:sz w:val="24"/>
          <w:szCs w:val="24"/>
        </w:rPr>
        <w:t>Doe</w:t>
      </w:r>
      <w:r w:rsidRPr="007B3248">
        <w:rPr>
          <w:b/>
          <w:color w:val="FF0000"/>
          <w:sz w:val="24"/>
          <w:szCs w:val="24"/>
        </w:rPr>
        <w:t xml:space="preserve"> </w:t>
      </w:r>
      <w:r w:rsidR="005419B6" w:rsidRPr="007B3248">
        <w:rPr>
          <w:b/>
          <w:sz w:val="24"/>
          <w:szCs w:val="24"/>
        </w:rPr>
        <w:t>due to his indigence</w:t>
      </w:r>
      <w:r w:rsidRPr="007B3248">
        <w:rPr>
          <w:b/>
          <w:sz w:val="24"/>
          <w:szCs w:val="24"/>
        </w:rPr>
        <w:t>.</w:t>
      </w:r>
      <w:commentRangeEnd w:id="4"/>
      <w:r w:rsidR="009D6917" w:rsidRPr="007B3248">
        <w:rPr>
          <w:rStyle w:val="CommentReference"/>
          <w:rFonts w:eastAsiaTheme="minorEastAsia" w:cs="Times New Roman"/>
          <w:sz w:val="24"/>
          <w:szCs w:val="24"/>
        </w:rPr>
        <w:commentReference w:id="4"/>
      </w:r>
    </w:p>
    <w:p w14:paraId="32DBB3B3" w14:textId="77777777" w:rsidR="005419B6" w:rsidRPr="007B3248" w:rsidRDefault="005419B6" w:rsidP="005419B6">
      <w:pPr>
        <w:pStyle w:val="FootnoteText"/>
        <w:ind w:left="1080"/>
        <w:rPr>
          <w:b/>
          <w:sz w:val="24"/>
          <w:szCs w:val="24"/>
        </w:rPr>
      </w:pPr>
    </w:p>
    <w:p w14:paraId="52E25041" w14:textId="39677681" w:rsidR="00A024FF" w:rsidRPr="007B3248" w:rsidRDefault="00950307" w:rsidP="00A056EB">
      <w:pPr>
        <w:pStyle w:val="Level1"/>
        <w:numPr>
          <w:ilvl w:val="0"/>
          <w:numId w:val="2"/>
        </w:numPr>
        <w:tabs>
          <w:tab w:val="left" w:pos="720"/>
        </w:tabs>
        <w:spacing w:line="480" w:lineRule="auto"/>
      </w:pPr>
      <w:r w:rsidRPr="007B3248">
        <w:t>A</w:t>
      </w:r>
      <w:r w:rsidR="00782680" w:rsidRPr="007B3248">
        <w:t>s described above—and as will be presented at a hearing on this Motion—</w:t>
      </w:r>
      <w:r w:rsidR="002F2438" w:rsidRPr="007B3248">
        <w:t>Mr.</w:t>
      </w:r>
      <w:r w:rsidR="00C621F0" w:rsidRPr="007B3248">
        <w:t xml:space="preserve"> </w:t>
      </w:r>
      <w:r w:rsidR="00C621F0" w:rsidRPr="007B3248">
        <w:rPr>
          <w:color w:val="FF0000"/>
        </w:rPr>
        <w:t>Doe</w:t>
      </w:r>
      <w:r w:rsidR="00C621F0" w:rsidRPr="007B3248">
        <w:t xml:space="preserve"> is indigent</w:t>
      </w:r>
      <w:r w:rsidRPr="007B3248">
        <w:t xml:space="preserve"> and will remain </w:t>
      </w:r>
      <w:r w:rsidR="007058DB" w:rsidRPr="007B3248">
        <w:t>unable to pay</w:t>
      </w:r>
      <w:r w:rsidRPr="007B3248">
        <w:t xml:space="preserve"> after serving his sentence</w:t>
      </w:r>
      <w:r w:rsidR="00C621F0" w:rsidRPr="007B3248">
        <w:t>.</w:t>
      </w:r>
      <w:r w:rsidR="00743725" w:rsidRPr="007B3248">
        <w:t xml:space="preserve"> </w:t>
      </w:r>
      <w:commentRangeStart w:id="5"/>
      <w:r w:rsidR="00743725" w:rsidRPr="007B3248">
        <w:t xml:space="preserve">Mr. </w:t>
      </w:r>
      <w:r w:rsidR="00743725" w:rsidRPr="007B3248">
        <w:rPr>
          <w:color w:val="FF0000"/>
        </w:rPr>
        <w:t xml:space="preserve">Doe [facts about receiving SSI, has not been able to afford to live on his own, </w:t>
      </w:r>
      <w:proofErr w:type="spellStart"/>
      <w:r w:rsidR="00743725" w:rsidRPr="007B3248">
        <w:rPr>
          <w:color w:val="FF0000"/>
        </w:rPr>
        <w:t>etc</w:t>
      </w:r>
      <w:proofErr w:type="spellEnd"/>
      <w:r w:rsidR="00743725" w:rsidRPr="007B3248">
        <w:rPr>
          <w:color w:val="FF0000"/>
        </w:rPr>
        <w:t>; recite some of the key facts to show that even before this case he couldn’t afford to live on his own.</w:t>
      </w:r>
      <w:r w:rsidR="00331363">
        <w:rPr>
          <w:color w:val="FF0000"/>
        </w:rPr>
        <w:t>]</w:t>
      </w:r>
      <w:r w:rsidR="00743725" w:rsidRPr="007B3248">
        <w:rPr>
          <w:color w:val="FF0000"/>
        </w:rPr>
        <w:t xml:space="preserve"> </w:t>
      </w:r>
      <w:r w:rsidR="00A024FF" w:rsidRPr="007B3248">
        <w:t xml:space="preserve">Moreover, Mr. </w:t>
      </w:r>
      <w:r w:rsidR="00A024FF" w:rsidRPr="007B3248">
        <w:rPr>
          <w:color w:val="FF0000"/>
        </w:rPr>
        <w:t xml:space="preserve">Doe </w:t>
      </w:r>
      <w:r w:rsidR="00A024FF" w:rsidRPr="007B3248">
        <w:t>received food stamps and Medicaid, and he currently receives the services of the public defender, facts that “invite the presumption of indigence.”</w:t>
      </w:r>
      <w:r w:rsidR="00A024FF" w:rsidRPr="007B3248">
        <w:rPr>
          <w:i/>
        </w:rPr>
        <w:t xml:space="preserve"> </w:t>
      </w:r>
      <w:commentRangeEnd w:id="5"/>
      <w:r w:rsidR="008F7630">
        <w:rPr>
          <w:rStyle w:val="CommentReference"/>
        </w:rPr>
        <w:commentReference w:id="5"/>
      </w:r>
      <w:r w:rsidR="00A024FF" w:rsidRPr="007B3248">
        <w:rPr>
          <w:i/>
        </w:rPr>
        <w:t>Commonwealth v. Eggers</w:t>
      </w:r>
      <w:r w:rsidR="00A024FF" w:rsidRPr="007B3248">
        <w:t>, 742 A.2d 174, 176 n.1 (Pa. Super. Ct. 1999). No facts rebut this presumption</w:t>
      </w:r>
      <w:r w:rsidR="002E496F" w:rsidRPr="007B3248">
        <w:t xml:space="preserve">—and indeed </w:t>
      </w:r>
      <w:r w:rsidR="005419B6" w:rsidRPr="007B3248">
        <w:t>the facts</w:t>
      </w:r>
      <w:r w:rsidR="002E496F" w:rsidRPr="007B3248">
        <w:t xml:space="preserve"> show that Mr. </w:t>
      </w:r>
      <w:r w:rsidR="002E496F" w:rsidRPr="007B3248">
        <w:rPr>
          <w:color w:val="FF0000"/>
        </w:rPr>
        <w:t xml:space="preserve">Doe </w:t>
      </w:r>
      <w:r w:rsidR="002E496F" w:rsidRPr="007B3248">
        <w:t>is and will be unab</w:t>
      </w:r>
      <w:r w:rsidR="00A056EB" w:rsidRPr="007B3248">
        <w:t xml:space="preserve">le to afford to pay </w:t>
      </w:r>
      <w:r w:rsidR="00824E32" w:rsidRPr="007B3248">
        <w:t>a fine</w:t>
      </w:r>
      <w:r w:rsidR="00A056EB" w:rsidRPr="007B3248">
        <w:t>.</w:t>
      </w:r>
      <w:r w:rsidR="00A056EB" w:rsidRPr="007B3248">
        <w:rPr>
          <w:i/>
        </w:rPr>
        <w:t xml:space="preserve"> Commonwealth v. Gaskin</w:t>
      </w:r>
      <w:r w:rsidR="00A056EB" w:rsidRPr="007B3248">
        <w:t xml:space="preserve">, 472 A.2d 1154, 1157–58 (Pa. Super. Ct. 1984) (finding no evidence of a defendant’s ability to pay a fine where defendant has no “financial assets [or] liabilities” and has been “living from hand to mouth”); </w:t>
      </w:r>
      <w:proofErr w:type="spellStart"/>
      <w:r w:rsidR="00A056EB" w:rsidRPr="007B3248">
        <w:rPr>
          <w:i/>
        </w:rPr>
        <w:t>Gerlitzki</w:t>
      </w:r>
      <w:proofErr w:type="spellEnd"/>
      <w:r w:rsidR="00A056EB" w:rsidRPr="007B3248">
        <w:rPr>
          <w:i/>
        </w:rPr>
        <w:t xml:space="preserve"> v. </w:t>
      </w:r>
      <w:proofErr w:type="spellStart"/>
      <w:r w:rsidR="00A056EB" w:rsidRPr="007B3248">
        <w:rPr>
          <w:i/>
        </w:rPr>
        <w:t>Feldser</w:t>
      </w:r>
      <w:proofErr w:type="spellEnd"/>
      <w:r w:rsidR="00A056EB" w:rsidRPr="007B3248">
        <w:t>, 307 A.2d 307, 308 (Pa. Super. Ct. 1973) (</w:t>
      </w:r>
      <w:proofErr w:type="spellStart"/>
      <w:r w:rsidR="00A056EB" w:rsidRPr="007B3248">
        <w:t>en</w:t>
      </w:r>
      <w:proofErr w:type="spellEnd"/>
      <w:r w:rsidR="00A056EB" w:rsidRPr="007B3248">
        <w:t xml:space="preserve"> banc) (dispositive question is whether a person “is in </w:t>
      </w:r>
      <w:r w:rsidR="00A056EB" w:rsidRPr="007B3248">
        <w:lastRenderedPageBreak/>
        <w:t xml:space="preserve">poverty. If they are in poverty, it follows that they are unable to pay the costs, and their petition should be granted.”); </w:t>
      </w:r>
      <w:proofErr w:type="spellStart"/>
      <w:r w:rsidR="00A056EB" w:rsidRPr="007B3248">
        <w:rPr>
          <w:i/>
        </w:rPr>
        <w:t>Schoepple</w:t>
      </w:r>
      <w:proofErr w:type="spellEnd"/>
      <w:r w:rsidR="00A056EB" w:rsidRPr="007B3248">
        <w:rPr>
          <w:i/>
        </w:rPr>
        <w:t xml:space="preserve"> v. </w:t>
      </w:r>
      <w:proofErr w:type="spellStart"/>
      <w:r w:rsidR="00A056EB" w:rsidRPr="007B3248">
        <w:rPr>
          <w:i/>
        </w:rPr>
        <w:t>Schoepple</w:t>
      </w:r>
      <w:proofErr w:type="spellEnd"/>
      <w:r w:rsidR="00A056EB" w:rsidRPr="007B3248">
        <w:t>, 361 A.2d 665, 667 (Pa. Super Ct. 1976) (</w:t>
      </w:r>
      <w:proofErr w:type="spellStart"/>
      <w:r w:rsidR="00A056EB" w:rsidRPr="007B3248">
        <w:t>en</w:t>
      </w:r>
      <w:proofErr w:type="spellEnd"/>
      <w:r w:rsidR="00A056EB" w:rsidRPr="007B3248">
        <w:t xml:space="preserve"> banc) (“[O]ne in poverty will not be able to pay costs.”).</w:t>
      </w:r>
      <w:r w:rsidR="00A056EB" w:rsidRPr="007B3248">
        <w:rPr>
          <w:rStyle w:val="FootnoteReference"/>
        </w:rPr>
        <w:footnoteReference w:id="3"/>
      </w:r>
    </w:p>
    <w:p w14:paraId="0128687C" w14:textId="4BF51211" w:rsidR="008F3DBC" w:rsidRPr="007B3248" w:rsidRDefault="007601F1" w:rsidP="007601F1">
      <w:pPr>
        <w:pStyle w:val="FootnoteText"/>
        <w:numPr>
          <w:ilvl w:val="0"/>
          <w:numId w:val="2"/>
        </w:numPr>
        <w:spacing w:line="480" w:lineRule="auto"/>
        <w:rPr>
          <w:sz w:val="24"/>
          <w:szCs w:val="24"/>
        </w:rPr>
      </w:pPr>
      <w:r w:rsidRPr="007B3248">
        <w:rPr>
          <w:sz w:val="24"/>
          <w:szCs w:val="24"/>
        </w:rPr>
        <w:t xml:space="preserve">The risk of imposing a fine on Mr. </w:t>
      </w:r>
      <w:r w:rsidRPr="007B3248">
        <w:rPr>
          <w:color w:val="FF0000"/>
          <w:sz w:val="24"/>
          <w:szCs w:val="24"/>
        </w:rPr>
        <w:t xml:space="preserve">Doe </w:t>
      </w:r>
      <w:r w:rsidRPr="007B3248">
        <w:rPr>
          <w:sz w:val="24"/>
          <w:szCs w:val="24"/>
        </w:rPr>
        <w:t xml:space="preserve">is that he will be unable to afford to pay it. As the Superior Court has explained, determining “defendant's ability to pay a fine will result in far more rational sentencing” as it will save this Court from having to hold a contempt hearing down the road when he is unable to pay the fine. </w:t>
      </w:r>
      <w:r w:rsidRPr="007B3248">
        <w:rPr>
          <w:i/>
          <w:sz w:val="24"/>
          <w:szCs w:val="24"/>
        </w:rPr>
        <w:t>Commonwealth v. Schwartz</w:t>
      </w:r>
      <w:r w:rsidRPr="007B3248">
        <w:rPr>
          <w:sz w:val="24"/>
          <w:szCs w:val="24"/>
        </w:rPr>
        <w:t xml:space="preserve">, 418 A.2d 637, 639 (Pa. Super. Ct. 1980). “Thus, rather than waiting until the defendant is brought before the court for not paying a fine, it is far more rational to determine the defendant's ability to pay at the time the fine is imposed.” </w:t>
      </w:r>
      <w:r w:rsidRPr="007B3248">
        <w:rPr>
          <w:i/>
          <w:sz w:val="24"/>
          <w:szCs w:val="24"/>
        </w:rPr>
        <w:t>Id</w:t>
      </w:r>
      <w:r w:rsidRPr="007B3248">
        <w:rPr>
          <w:sz w:val="24"/>
          <w:szCs w:val="24"/>
        </w:rPr>
        <w:t xml:space="preserve">. at 639-40. </w:t>
      </w:r>
      <w:bookmarkStart w:id="6" w:name="_GoBack"/>
      <w:r w:rsidR="002F2438" w:rsidRPr="00A8266A">
        <w:rPr>
          <w:color w:val="FF0000"/>
          <w:sz w:val="24"/>
          <w:szCs w:val="24"/>
        </w:rPr>
        <w:t>In light of his indigence</w:t>
      </w:r>
      <w:r w:rsidR="008F3DBC" w:rsidRPr="00A8266A">
        <w:rPr>
          <w:color w:val="FF0000"/>
          <w:sz w:val="24"/>
          <w:szCs w:val="24"/>
        </w:rPr>
        <w:t xml:space="preserve"> and inability to pay</w:t>
      </w:r>
      <w:r w:rsidR="00824E32" w:rsidRPr="00A8266A">
        <w:rPr>
          <w:color w:val="FF0000"/>
          <w:sz w:val="24"/>
          <w:szCs w:val="24"/>
        </w:rPr>
        <w:t xml:space="preserve"> any fine</w:t>
      </w:r>
      <w:r w:rsidR="002F2438" w:rsidRPr="00A8266A">
        <w:rPr>
          <w:color w:val="FF0000"/>
          <w:sz w:val="24"/>
          <w:szCs w:val="24"/>
        </w:rPr>
        <w:t xml:space="preserve">, this Court should </w:t>
      </w:r>
      <w:r w:rsidR="009D6917" w:rsidRPr="00A8266A">
        <w:rPr>
          <w:color w:val="FF0000"/>
          <w:sz w:val="24"/>
          <w:szCs w:val="24"/>
        </w:rPr>
        <w:t xml:space="preserve">not impose a fine on </w:t>
      </w:r>
      <w:r w:rsidR="002F2438" w:rsidRPr="00A8266A">
        <w:rPr>
          <w:color w:val="FF0000"/>
          <w:sz w:val="24"/>
          <w:szCs w:val="24"/>
        </w:rPr>
        <w:t>Mr. Doe</w:t>
      </w:r>
      <w:r w:rsidR="009D6917" w:rsidRPr="00A8266A">
        <w:rPr>
          <w:color w:val="FF0000"/>
          <w:sz w:val="24"/>
          <w:szCs w:val="24"/>
        </w:rPr>
        <w:t>.</w:t>
      </w:r>
      <w:bookmarkEnd w:id="6"/>
    </w:p>
    <w:p w14:paraId="071DA34F" w14:textId="64E650FD" w:rsidR="003352AA" w:rsidRPr="007B3248" w:rsidRDefault="003352AA" w:rsidP="008F3DBC">
      <w:pPr>
        <w:pStyle w:val="FootnoteText"/>
        <w:spacing w:line="480" w:lineRule="auto"/>
        <w:rPr>
          <w:sz w:val="24"/>
          <w:szCs w:val="24"/>
        </w:rPr>
      </w:pPr>
      <w:r w:rsidRPr="007B3248">
        <w:rPr>
          <w:sz w:val="24"/>
          <w:szCs w:val="24"/>
        </w:rPr>
        <w:t xml:space="preserve">WHEREFORE, Defendant </w:t>
      </w:r>
      <w:r w:rsidR="002F2438" w:rsidRPr="007B3248">
        <w:rPr>
          <w:color w:val="FF0000"/>
          <w:sz w:val="24"/>
          <w:szCs w:val="24"/>
        </w:rPr>
        <w:t>Doe</w:t>
      </w:r>
      <w:r w:rsidR="002F2438" w:rsidRPr="007B3248">
        <w:rPr>
          <w:sz w:val="24"/>
          <w:szCs w:val="24"/>
        </w:rPr>
        <w:t xml:space="preserve"> </w:t>
      </w:r>
      <w:r w:rsidRPr="007B3248">
        <w:rPr>
          <w:sz w:val="24"/>
          <w:szCs w:val="24"/>
        </w:rPr>
        <w:t>request</w:t>
      </w:r>
      <w:r w:rsidR="001A657C" w:rsidRPr="007B3248">
        <w:rPr>
          <w:sz w:val="24"/>
          <w:szCs w:val="24"/>
        </w:rPr>
        <w:t>s</w:t>
      </w:r>
      <w:r w:rsidRPr="007B3248">
        <w:rPr>
          <w:sz w:val="24"/>
          <w:szCs w:val="24"/>
        </w:rPr>
        <w:t xml:space="preserve"> that this Court </w:t>
      </w:r>
      <w:r w:rsidR="004F7418" w:rsidRPr="007B3248">
        <w:rPr>
          <w:sz w:val="24"/>
          <w:szCs w:val="24"/>
        </w:rPr>
        <w:t>not impose a fine in this matter</w:t>
      </w:r>
      <w:r w:rsidR="002F2438" w:rsidRPr="007B3248">
        <w:rPr>
          <w:sz w:val="24"/>
          <w:szCs w:val="24"/>
        </w:rPr>
        <w:t xml:space="preserve"> due to his indigence</w:t>
      </w:r>
      <w:r w:rsidRPr="007B3248">
        <w:rPr>
          <w:sz w:val="24"/>
          <w:szCs w:val="24"/>
        </w:rPr>
        <w:t xml:space="preserve">. </w:t>
      </w:r>
    </w:p>
    <w:p w14:paraId="170EB497" w14:textId="77777777" w:rsidR="00C87724" w:rsidRPr="007B3248" w:rsidRDefault="00C87724" w:rsidP="003352AA">
      <w:pPr>
        <w:pStyle w:val="FootnoteText"/>
        <w:spacing w:line="480" w:lineRule="auto"/>
        <w:ind w:left="360"/>
        <w:rPr>
          <w:sz w:val="24"/>
          <w:szCs w:val="24"/>
        </w:rPr>
      </w:pPr>
    </w:p>
    <w:p w14:paraId="2A32C2BF" w14:textId="77777777" w:rsidR="00C87724" w:rsidRPr="007B3248" w:rsidRDefault="00C87724" w:rsidP="003352AA">
      <w:pPr>
        <w:pStyle w:val="FootnoteText"/>
        <w:spacing w:line="480" w:lineRule="auto"/>
        <w:ind w:left="360"/>
        <w:rPr>
          <w:sz w:val="24"/>
          <w:szCs w:val="24"/>
        </w:rPr>
      </w:pP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r>
      <w:r w:rsidRPr="007B3248">
        <w:rPr>
          <w:sz w:val="24"/>
          <w:szCs w:val="24"/>
        </w:rPr>
        <w:tab/>
        <w:t>[SIGNATURE BLOCK]</w:t>
      </w:r>
    </w:p>
    <w:sectPr w:rsidR="00C87724" w:rsidRPr="007B32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w" w:date="2021-02-17T11:24:00Z" w:initials="AC">
    <w:p w14:paraId="4CE98011" w14:textId="07CB0905" w:rsidR="00B31295" w:rsidRDefault="00B31295">
      <w:pPr>
        <w:pStyle w:val="CommentText"/>
      </w:pPr>
      <w:r>
        <w:rPr>
          <w:rStyle w:val="CommentReference"/>
        </w:rPr>
        <w:annotationRef/>
      </w:r>
      <w:r>
        <w:t xml:space="preserve">This could be filed as a post-sentencing motion, or it could be filed ahead of sentencing – or the arguments could just be raised orally </w:t>
      </w:r>
    </w:p>
  </w:comment>
  <w:comment w:id="1" w:author="Andrew [2]" w:date="2020-11-18T16:24:00Z" w:initials="AC">
    <w:p w14:paraId="16F992EE" w14:textId="698C5B47" w:rsidR="00001097" w:rsidRDefault="00001097">
      <w:pPr>
        <w:pStyle w:val="CommentText"/>
      </w:pPr>
      <w:r>
        <w:rPr>
          <w:rStyle w:val="CommentReference"/>
        </w:rPr>
        <w:annotationRef/>
      </w:r>
      <w:r>
        <w:t>You should customize this based on whether you are asking for no fine, or if you are asking for a reduced fine; if the latter, you should try to identify a specific amount and why</w:t>
      </w:r>
      <w:r w:rsidR="00C56A05">
        <w:t>.</w:t>
      </w:r>
    </w:p>
    <w:p w14:paraId="364AAAEF" w14:textId="77777777" w:rsidR="00C56A05" w:rsidRDefault="00C56A05">
      <w:pPr>
        <w:pStyle w:val="CommentText"/>
      </w:pPr>
    </w:p>
    <w:p w14:paraId="4896A56F" w14:textId="1D08C418" w:rsidR="00C56A05" w:rsidRDefault="00C56A05">
      <w:pPr>
        <w:pStyle w:val="CommentText"/>
      </w:pPr>
      <w:r>
        <w:t>For example, if the defendant can afford $10/month and is on probation for 24 months, then ask for an amount that does not exceed $240, so that the fine should (hopefully) be paid in full by the time probation ends.</w:t>
      </w:r>
    </w:p>
  </w:comment>
  <w:comment w:id="2" w:author="Andrew [2]" w:date="2020-11-18T16:34:00Z" w:initials="AC">
    <w:p w14:paraId="5DB3E665" w14:textId="77AC4FB1" w:rsidR="00D04A5F" w:rsidRDefault="00D04A5F">
      <w:pPr>
        <w:pStyle w:val="CommentText"/>
      </w:pPr>
      <w:r>
        <w:rPr>
          <w:rStyle w:val="CommentReference"/>
        </w:rPr>
        <w:annotationRef/>
      </w:r>
      <w:r>
        <w:t>Strictly speaking, the excessive fines clause argument is superfluous to the statutory and rules-based argument, but it should be raised an preserved for appellate purposes – particularly if you are challenging a “mandatory” fine</w:t>
      </w:r>
    </w:p>
  </w:comment>
  <w:comment w:id="3" w:author="Andrew [2]" w:date="2018-10-26T13:41:00Z" w:initials="AC">
    <w:p w14:paraId="0FB90ECF" w14:textId="402AD6ED" w:rsidR="002C0F31" w:rsidRDefault="002C0F31">
      <w:pPr>
        <w:pStyle w:val="CommentText"/>
      </w:pPr>
      <w:r>
        <w:rPr>
          <w:rStyle w:val="CommentReference"/>
        </w:rPr>
        <w:annotationRef/>
      </w:r>
      <w:r>
        <w:t>This section is about advancing the law – setting up for appeal the argument that even “mandatory” fines are subject t</w:t>
      </w:r>
      <w:r w:rsidR="008B0F7A">
        <w:t xml:space="preserve">o this ability-to-pay analysis, as a judge may disagree here. </w:t>
      </w:r>
    </w:p>
    <w:p w14:paraId="47B8880C" w14:textId="77777777" w:rsidR="002C0F31" w:rsidRDefault="002C0F31">
      <w:pPr>
        <w:pStyle w:val="CommentText"/>
      </w:pPr>
    </w:p>
    <w:p w14:paraId="1E1C65CF" w14:textId="7735C4A8" w:rsidR="002C0F31" w:rsidRPr="002C0F31" w:rsidRDefault="00C74B96">
      <w:pPr>
        <w:pStyle w:val="CommentText"/>
        <w:rPr>
          <w:i/>
        </w:rPr>
      </w:pPr>
      <w:r>
        <w:t>Only use this section if the court is imposing a “mandatory” fine.</w:t>
      </w:r>
      <w:r w:rsidR="002C0F31">
        <w:t xml:space="preserve"> </w:t>
      </w:r>
    </w:p>
  </w:comment>
  <w:comment w:id="4" w:author="Andrew [2]" w:date="2018-10-26T13:14:00Z" w:initials="AC">
    <w:p w14:paraId="53A83F0F" w14:textId="2D307C96" w:rsidR="009D6917" w:rsidRDefault="009D6917">
      <w:pPr>
        <w:pStyle w:val="CommentText"/>
      </w:pPr>
      <w:r>
        <w:rPr>
          <w:rStyle w:val="CommentReference"/>
        </w:rPr>
        <w:annotationRef/>
      </w:r>
      <w:r>
        <w:t xml:space="preserve">Consider whether you are asking for no fine, or if you have a better argument to make for a small fine (like $25) that is still proportionally burdensome for the client. $25 may be to a public defender client what $2,000 is to someone with an attorney’s salary. </w:t>
      </w:r>
    </w:p>
    <w:p w14:paraId="22DBB8C5" w14:textId="77777777" w:rsidR="00AC62A5" w:rsidRDefault="00AC62A5">
      <w:pPr>
        <w:pStyle w:val="CommentText"/>
      </w:pPr>
    </w:p>
    <w:p w14:paraId="624C1F47" w14:textId="1D58CC19" w:rsidR="00AC62A5" w:rsidRDefault="00AC62A5">
      <w:pPr>
        <w:pStyle w:val="CommentText"/>
      </w:pPr>
      <w:r>
        <w:t>As is noted above in the comments, the best way to do this would be to suggest a total amount of the fine based on what your client will likely be able to pay each month x the months on probation (or perhaps the statutory maximum sentence of the offense, if there will not be any probation)</w:t>
      </w:r>
    </w:p>
  </w:comment>
  <w:comment w:id="5" w:author="Andrew" w:date="2021-02-17T11:30:00Z" w:initials="AC">
    <w:p w14:paraId="5A6B4D95" w14:textId="2A8F4E1A" w:rsidR="008F7630" w:rsidRDefault="008F7630">
      <w:pPr>
        <w:pStyle w:val="CommentText"/>
      </w:pPr>
      <w:r>
        <w:rPr>
          <w:rStyle w:val="CommentReference"/>
        </w:rPr>
        <w:annotationRef/>
      </w:r>
      <w:r>
        <w:t xml:space="preserve">For all of this, of course customize it based on the defendant’s individual circumstances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98011" w15:done="0"/>
  <w15:commentEx w15:paraId="4896A56F" w15:done="0"/>
  <w15:commentEx w15:paraId="5DB3E665" w15:done="0"/>
  <w15:commentEx w15:paraId="1E1C65CF" w15:done="0"/>
  <w15:commentEx w15:paraId="624C1F47" w15:done="0"/>
  <w15:commentEx w15:paraId="5A6B4D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B9ACC" w14:textId="77777777" w:rsidR="00B966AB" w:rsidRDefault="00B966AB" w:rsidP="00144746">
      <w:r>
        <w:separator/>
      </w:r>
    </w:p>
  </w:endnote>
  <w:endnote w:type="continuationSeparator" w:id="0">
    <w:p w14:paraId="02CE0E52" w14:textId="77777777" w:rsidR="00B966AB" w:rsidRDefault="00B966AB" w:rsidP="001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3FBB6" w14:textId="77777777" w:rsidR="000C6E3E" w:rsidRDefault="000C6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380531"/>
      <w:docPartObj>
        <w:docPartGallery w:val="Page Numbers (Bottom of Page)"/>
        <w:docPartUnique/>
      </w:docPartObj>
    </w:sdtPr>
    <w:sdtEndPr>
      <w:rPr>
        <w:noProof/>
      </w:rPr>
    </w:sdtEndPr>
    <w:sdtContent>
      <w:p w14:paraId="6C48D7BD" w14:textId="377FC4C0" w:rsidR="000C6E3E" w:rsidRDefault="000C6E3E">
        <w:pPr>
          <w:pStyle w:val="Footer"/>
          <w:jc w:val="center"/>
        </w:pPr>
        <w:r>
          <w:fldChar w:fldCharType="begin"/>
        </w:r>
        <w:r>
          <w:instrText xml:space="preserve"> PAGE   \* MERGEFORMAT </w:instrText>
        </w:r>
        <w:r>
          <w:fldChar w:fldCharType="separate"/>
        </w:r>
        <w:r w:rsidR="009D3412">
          <w:rPr>
            <w:noProof/>
          </w:rPr>
          <w:t>6</w:t>
        </w:r>
        <w:r>
          <w:rPr>
            <w:noProof/>
          </w:rPr>
          <w:fldChar w:fldCharType="end"/>
        </w:r>
      </w:p>
    </w:sdtContent>
  </w:sdt>
  <w:p w14:paraId="58306DAD" w14:textId="77777777" w:rsidR="000C6E3E" w:rsidRDefault="000C6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A8AD" w14:textId="77777777" w:rsidR="000C6E3E" w:rsidRDefault="000C6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E8D1B" w14:textId="77777777" w:rsidR="00B966AB" w:rsidRDefault="00B966AB" w:rsidP="00144746">
      <w:r>
        <w:separator/>
      </w:r>
    </w:p>
  </w:footnote>
  <w:footnote w:type="continuationSeparator" w:id="0">
    <w:p w14:paraId="7B039D17" w14:textId="77777777" w:rsidR="00B966AB" w:rsidRDefault="00B966AB" w:rsidP="00144746">
      <w:r>
        <w:continuationSeparator/>
      </w:r>
    </w:p>
  </w:footnote>
  <w:footnote w:id="1">
    <w:p w14:paraId="1986F694" w14:textId="0EEF6CA9" w:rsidR="00192696" w:rsidRPr="00192696" w:rsidRDefault="00192696">
      <w:pPr>
        <w:pStyle w:val="FootnoteText"/>
      </w:pPr>
      <w:r w:rsidRPr="00192696">
        <w:rPr>
          <w:rStyle w:val="FootnoteReference"/>
        </w:rPr>
        <w:footnoteRef/>
      </w:r>
      <w:r>
        <w:t xml:space="preserve"> In a non-precedential memorandum opinion, the Superior Court acknowledged that one panel decision could not overrule the panel decision in </w:t>
      </w:r>
      <w:proofErr w:type="spellStart"/>
      <w:r>
        <w:rPr>
          <w:i/>
        </w:rPr>
        <w:t>Cherpes</w:t>
      </w:r>
      <w:proofErr w:type="spellEnd"/>
      <w:r>
        <w:t xml:space="preserve"> </w:t>
      </w:r>
      <w:r w:rsidR="00E0187D">
        <w:t xml:space="preserve">and declined to analyze whether § 9726 is actually irreconcilable with a statute imposing an otherwise mandatory fine. </w:t>
      </w:r>
      <w:r w:rsidR="00E0187D">
        <w:rPr>
          <w:i/>
        </w:rPr>
        <w:t>See</w:t>
      </w:r>
      <w:r w:rsidRPr="00192696">
        <w:t xml:space="preserve"> </w:t>
      </w:r>
      <w:r w:rsidRPr="00192696">
        <w:rPr>
          <w:i/>
        </w:rPr>
        <w:t>Commonwealth v. Kress</w:t>
      </w:r>
      <w:r w:rsidRPr="00192696">
        <w:t>, 532 MDA 2020 (Pa. Super. Ct. Nov. 18, 2020</w:t>
      </w:r>
      <w:r w:rsidR="00DD6522">
        <w:t>)</w:t>
      </w:r>
      <w:r w:rsidRPr="00192696">
        <w:t xml:space="preserve"> (unpublished)</w:t>
      </w:r>
      <w:r w:rsidR="009F6666">
        <w:t>.</w:t>
      </w:r>
    </w:p>
  </w:footnote>
  <w:footnote w:id="2">
    <w:p w14:paraId="674384F1" w14:textId="7F204303" w:rsidR="001D5769" w:rsidRPr="00192696" w:rsidRDefault="001D5769">
      <w:pPr>
        <w:pStyle w:val="FootnoteText"/>
      </w:pPr>
      <w:r w:rsidRPr="00192696">
        <w:rPr>
          <w:rStyle w:val="FootnoteReference"/>
        </w:rPr>
        <w:footnoteRef/>
      </w:r>
      <w:r w:rsidRPr="00192696">
        <w:t xml:space="preserve"> In </w:t>
      </w:r>
      <w:r w:rsidRPr="00192696">
        <w:rPr>
          <w:i/>
        </w:rPr>
        <w:t>Ford</w:t>
      </w:r>
      <w:r w:rsidRPr="00192696">
        <w:t xml:space="preserve">, the Supreme Court </w:t>
      </w:r>
      <w:r w:rsidR="0058131B" w:rsidRPr="00192696">
        <w:t>addressed only non-mandatory fines, as only those fines were at issue in the case. While the Court did describe the holding of the trial court and the Superior Court</w:t>
      </w:r>
      <w:r w:rsidR="00EE4B6E" w:rsidRPr="00192696">
        <w:t xml:space="preserve"> as drawing a distinction between mandatory and non-mandatory fines</w:t>
      </w:r>
      <w:r w:rsidR="0058131B" w:rsidRPr="00192696">
        <w:t>—</w:t>
      </w:r>
      <w:r w:rsidR="00EE4B6E" w:rsidRPr="00192696">
        <w:t>those lower courts held</w:t>
      </w:r>
      <w:r w:rsidR="0058131B" w:rsidRPr="00192696">
        <w:t xml:space="preserve"> that </w:t>
      </w:r>
      <w:r w:rsidR="0058131B" w:rsidRPr="00192696">
        <w:rPr>
          <w:i/>
        </w:rPr>
        <w:t>mandatory</w:t>
      </w:r>
      <w:r w:rsidR="0058131B" w:rsidRPr="00192696">
        <w:t xml:space="preserve"> fines were not subject to § 9726 in light of dicta in </w:t>
      </w:r>
      <w:r w:rsidR="0058131B" w:rsidRPr="00192696">
        <w:rPr>
          <w:i/>
        </w:rPr>
        <w:t xml:space="preserve">Commonwealth v. </w:t>
      </w:r>
      <w:proofErr w:type="spellStart"/>
      <w:r w:rsidR="0058131B" w:rsidRPr="00192696">
        <w:rPr>
          <w:i/>
        </w:rPr>
        <w:t>Gipple</w:t>
      </w:r>
      <w:proofErr w:type="spellEnd"/>
      <w:r w:rsidR="0058131B" w:rsidRPr="00192696">
        <w:t xml:space="preserve">, 613 A.2d 600, </w:t>
      </w:r>
      <w:r w:rsidR="007B6E78">
        <w:t>601 n.1 (Pa. Super. Ct. 1992). T</w:t>
      </w:r>
      <w:r w:rsidR="000872B1" w:rsidRPr="00192696">
        <w:t xml:space="preserve">he </w:t>
      </w:r>
      <w:r w:rsidR="00F7165E" w:rsidRPr="00192696">
        <w:t xml:space="preserve">Supreme </w:t>
      </w:r>
      <w:r w:rsidR="000872B1" w:rsidRPr="00192696">
        <w:t xml:space="preserve">Court did not actually address or rule on the question of whether § 9726 applies to mandatory fines. </w:t>
      </w:r>
    </w:p>
  </w:footnote>
  <w:footnote w:id="3">
    <w:p w14:paraId="4FDAC837" w14:textId="3DFE56AA" w:rsidR="00A056EB" w:rsidRPr="00192696" w:rsidRDefault="00A056EB">
      <w:pPr>
        <w:pStyle w:val="FootnoteText"/>
        <w:rPr>
          <w:rFonts w:eastAsia="Times New Roman" w:cs="Times New Roman"/>
        </w:rPr>
      </w:pPr>
      <w:r w:rsidRPr="00192696">
        <w:rPr>
          <w:rStyle w:val="FootnoteReference"/>
        </w:rPr>
        <w:footnoteRef/>
      </w:r>
      <w:r w:rsidRPr="00192696">
        <w:t xml:space="preserve"> While </w:t>
      </w:r>
      <w:proofErr w:type="spellStart"/>
      <w:r w:rsidRPr="00192696">
        <w:rPr>
          <w:i/>
        </w:rPr>
        <w:t>Gerlitzki</w:t>
      </w:r>
      <w:proofErr w:type="spellEnd"/>
      <w:r w:rsidRPr="00192696">
        <w:t xml:space="preserve"> and </w:t>
      </w:r>
      <w:proofErr w:type="spellStart"/>
      <w:r w:rsidRPr="00192696">
        <w:rPr>
          <w:i/>
        </w:rPr>
        <w:t>Schoepple</w:t>
      </w:r>
      <w:proofErr w:type="spellEnd"/>
      <w:r w:rsidRPr="00192696">
        <w:t xml:space="preserve"> are </w:t>
      </w:r>
      <w:r w:rsidRPr="00192696">
        <w:rPr>
          <w:i/>
        </w:rPr>
        <w:t xml:space="preserve">in forma </w:t>
      </w:r>
      <w:proofErr w:type="spellStart"/>
      <w:r w:rsidRPr="00192696">
        <w:rPr>
          <w:i/>
        </w:rPr>
        <w:t>pauperis</w:t>
      </w:r>
      <w:proofErr w:type="spellEnd"/>
      <w:r w:rsidRPr="00192696">
        <w:t xml:space="preserve"> case, the </w:t>
      </w:r>
      <w:proofErr w:type="spellStart"/>
      <w:r w:rsidRPr="00192696">
        <w:t>The</w:t>
      </w:r>
      <w:proofErr w:type="spellEnd"/>
      <w:r w:rsidRPr="00192696">
        <w:t xml:space="preserve"> Superior Court has instructed that trial courts should look to the “established processes for assessing </w:t>
      </w:r>
      <w:proofErr w:type="spellStart"/>
      <w:r w:rsidRPr="00192696">
        <w:t>indigency</w:t>
      </w:r>
      <w:proofErr w:type="spellEnd"/>
      <w:r w:rsidRPr="00192696">
        <w:t xml:space="preserve">” through the in forma </w:t>
      </w:r>
      <w:proofErr w:type="spellStart"/>
      <w:r w:rsidRPr="00192696">
        <w:t>pauperis</w:t>
      </w:r>
      <w:proofErr w:type="spellEnd"/>
      <w:r w:rsidRPr="00192696">
        <w:t xml:space="preserve"> (“IFP”) standards when determining whether certain costs should be waived in criminal cases. </w:t>
      </w:r>
      <w:r w:rsidRPr="00192696">
        <w:rPr>
          <w:i/>
        </w:rPr>
        <w:t>Commonwealth v. Cannon</w:t>
      </w:r>
      <w:r w:rsidRPr="00192696">
        <w:t xml:space="preserve">, 954 A.2d 1222, 1226 (Pa. Super. Ct. 2008) (using the IFP standards and the appointment of counsel standards to determine whether to waive the cost of an expert in a criminal case, although the defendant failed to provide evidence of </w:t>
      </w:r>
      <w:proofErr w:type="spellStart"/>
      <w:r w:rsidRPr="00192696">
        <w:t>indigency</w:t>
      </w:r>
      <w:proofErr w:type="spellEnd"/>
      <w:r w:rsidRPr="00192696">
        <w:t>)</w:t>
      </w:r>
      <w:r w:rsidRPr="00192696">
        <w:rPr>
          <w:i/>
        </w:rPr>
        <w:t>; see also Commonwealth v. Mead</w:t>
      </w:r>
      <w:r w:rsidRPr="00192696">
        <w:t xml:space="preserve">, 446 A.2d 971, 974 (Pa. Super. Ct. 1982) (reviewing IFP application and petition for appointment of counsel to help determine financial status when setting a fine). This is because of the </w:t>
      </w:r>
      <w:r w:rsidRPr="00192696">
        <w:rPr>
          <w:rFonts w:eastAsia="Times New Roman" w:cs="Times New Roman"/>
        </w:rPr>
        <w:t xml:space="preserve">“dearth of case law” in criminal cases, compared with the “well-established principles governing </w:t>
      </w:r>
      <w:proofErr w:type="spellStart"/>
      <w:r w:rsidRPr="00192696">
        <w:rPr>
          <w:rFonts w:eastAsia="Times New Roman" w:cs="Times New Roman"/>
        </w:rPr>
        <w:t>indigency</w:t>
      </w:r>
      <w:proofErr w:type="spellEnd"/>
      <w:r w:rsidRPr="00192696">
        <w:rPr>
          <w:rFonts w:eastAsia="Times New Roman" w:cs="Times New Roman"/>
        </w:rPr>
        <w:t xml:space="preserve"> in civil cases.” </w:t>
      </w:r>
      <w:r w:rsidRPr="00192696">
        <w:rPr>
          <w:rFonts w:eastAsia="Times New Roman" w:cs="Times New Roman"/>
          <w:i/>
        </w:rPr>
        <w:t xml:space="preserve">Commonwealth v. </w:t>
      </w:r>
      <w:proofErr w:type="spellStart"/>
      <w:r w:rsidRPr="00192696">
        <w:rPr>
          <w:rFonts w:eastAsia="Times New Roman" w:cs="Times New Roman"/>
          <w:i/>
        </w:rPr>
        <w:t>Lepre</w:t>
      </w:r>
      <w:proofErr w:type="spellEnd"/>
      <w:r w:rsidRPr="00192696">
        <w:rPr>
          <w:rFonts w:eastAsia="Times New Roman" w:cs="Times New Roman"/>
        </w:rPr>
        <w:t xml:space="preserve">, 18 A.3d 1225, 1226 (Pa. Super. Ct. 2011) (applying IFP standards to waive appeal costs). These same principles should be used to determine whether a defendant is able to pay </w:t>
      </w:r>
      <w:r w:rsidR="00824E32" w:rsidRPr="00192696">
        <w:rPr>
          <w:rFonts w:eastAsia="Times New Roman" w:cs="Times New Roman"/>
        </w:rPr>
        <w:t>a fine under § 9726</w:t>
      </w:r>
      <w:r w:rsidRPr="00192696">
        <w:rPr>
          <w:rFonts w:eastAsia="Times New Roman" w:cs="Times New Roman"/>
        </w:rPr>
        <w:t xml:space="preserve">, as indigence is indigence.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FFB2" w14:textId="77777777" w:rsidR="000C6E3E" w:rsidRDefault="000C6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1D3C" w14:textId="77777777" w:rsidR="000C6E3E" w:rsidRDefault="000C6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D6DE" w14:textId="77777777" w:rsidR="000C6E3E" w:rsidRDefault="000C6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4856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4152F"/>
    <w:multiLevelType w:val="hybridMultilevel"/>
    <w:tmpl w:val="FB56B398"/>
    <w:lvl w:ilvl="0" w:tplc="32928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w15:presenceInfo w15:providerId="Windows Live" w15:userId="69fb4f3a47d905f0"/>
  </w15:person>
  <w15:person w15:author="Andrew [2]">
    <w15:presenceInfo w15:providerId="None" w15:userId="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5"/>
    <w:rsid w:val="00001097"/>
    <w:rsid w:val="00086CC1"/>
    <w:rsid w:val="000872B1"/>
    <w:rsid w:val="000A2E5B"/>
    <w:rsid w:val="000B735E"/>
    <w:rsid w:val="000C6E3E"/>
    <w:rsid w:val="000D4747"/>
    <w:rsid w:val="000D69CE"/>
    <w:rsid w:val="00113056"/>
    <w:rsid w:val="00144746"/>
    <w:rsid w:val="00192696"/>
    <w:rsid w:val="001A657C"/>
    <w:rsid w:val="001D5769"/>
    <w:rsid w:val="001E7D54"/>
    <w:rsid w:val="001F2FAC"/>
    <w:rsid w:val="002056DA"/>
    <w:rsid w:val="002257AC"/>
    <w:rsid w:val="00257A74"/>
    <w:rsid w:val="00275E7B"/>
    <w:rsid w:val="0027759B"/>
    <w:rsid w:val="002C0F31"/>
    <w:rsid w:val="002D71E4"/>
    <w:rsid w:val="002E496F"/>
    <w:rsid w:val="002F2438"/>
    <w:rsid w:val="002F6989"/>
    <w:rsid w:val="00331363"/>
    <w:rsid w:val="003352AA"/>
    <w:rsid w:val="00367F1B"/>
    <w:rsid w:val="003A34CD"/>
    <w:rsid w:val="003B4B3F"/>
    <w:rsid w:val="003E35C1"/>
    <w:rsid w:val="003F3AD0"/>
    <w:rsid w:val="004300AE"/>
    <w:rsid w:val="00452C34"/>
    <w:rsid w:val="00453C72"/>
    <w:rsid w:val="00454A5D"/>
    <w:rsid w:val="00486346"/>
    <w:rsid w:val="0049635C"/>
    <w:rsid w:val="004A04A6"/>
    <w:rsid w:val="004F7418"/>
    <w:rsid w:val="00515F82"/>
    <w:rsid w:val="005419B6"/>
    <w:rsid w:val="00574BD2"/>
    <w:rsid w:val="0058131B"/>
    <w:rsid w:val="005A104C"/>
    <w:rsid w:val="005A3555"/>
    <w:rsid w:val="005F3124"/>
    <w:rsid w:val="006068C2"/>
    <w:rsid w:val="00610056"/>
    <w:rsid w:val="00646278"/>
    <w:rsid w:val="006873F1"/>
    <w:rsid w:val="006B5502"/>
    <w:rsid w:val="006F06A5"/>
    <w:rsid w:val="007058DB"/>
    <w:rsid w:val="00743725"/>
    <w:rsid w:val="007601F1"/>
    <w:rsid w:val="00760D84"/>
    <w:rsid w:val="007773A2"/>
    <w:rsid w:val="007800A6"/>
    <w:rsid w:val="00782680"/>
    <w:rsid w:val="007B3248"/>
    <w:rsid w:val="007B6E78"/>
    <w:rsid w:val="007C7FE7"/>
    <w:rsid w:val="00807101"/>
    <w:rsid w:val="00814633"/>
    <w:rsid w:val="00822F59"/>
    <w:rsid w:val="00824E32"/>
    <w:rsid w:val="00830085"/>
    <w:rsid w:val="00830D58"/>
    <w:rsid w:val="00844EB6"/>
    <w:rsid w:val="00866E36"/>
    <w:rsid w:val="008B0F7A"/>
    <w:rsid w:val="008C76D4"/>
    <w:rsid w:val="008F3DBC"/>
    <w:rsid w:val="008F7630"/>
    <w:rsid w:val="00950307"/>
    <w:rsid w:val="00950A22"/>
    <w:rsid w:val="00965319"/>
    <w:rsid w:val="009877AF"/>
    <w:rsid w:val="009A4512"/>
    <w:rsid w:val="009D3412"/>
    <w:rsid w:val="009D6917"/>
    <w:rsid w:val="009F474B"/>
    <w:rsid w:val="009F6666"/>
    <w:rsid w:val="00A024FF"/>
    <w:rsid w:val="00A056EB"/>
    <w:rsid w:val="00A15AF2"/>
    <w:rsid w:val="00A61A68"/>
    <w:rsid w:val="00A61B5D"/>
    <w:rsid w:val="00A8266A"/>
    <w:rsid w:val="00A82CC4"/>
    <w:rsid w:val="00A954D4"/>
    <w:rsid w:val="00AC62A5"/>
    <w:rsid w:val="00B122F1"/>
    <w:rsid w:val="00B15A43"/>
    <w:rsid w:val="00B31295"/>
    <w:rsid w:val="00B34B16"/>
    <w:rsid w:val="00B540FD"/>
    <w:rsid w:val="00B62DA9"/>
    <w:rsid w:val="00B700C6"/>
    <w:rsid w:val="00B70B3B"/>
    <w:rsid w:val="00B966AB"/>
    <w:rsid w:val="00BC721E"/>
    <w:rsid w:val="00BF3FEB"/>
    <w:rsid w:val="00BF663B"/>
    <w:rsid w:val="00C11A91"/>
    <w:rsid w:val="00C31B03"/>
    <w:rsid w:val="00C3682A"/>
    <w:rsid w:val="00C56A05"/>
    <w:rsid w:val="00C621F0"/>
    <w:rsid w:val="00C6763D"/>
    <w:rsid w:val="00C74B96"/>
    <w:rsid w:val="00C77910"/>
    <w:rsid w:val="00C80A79"/>
    <w:rsid w:val="00C87724"/>
    <w:rsid w:val="00CA0209"/>
    <w:rsid w:val="00CA1324"/>
    <w:rsid w:val="00CA7642"/>
    <w:rsid w:val="00CB0FF9"/>
    <w:rsid w:val="00CC2635"/>
    <w:rsid w:val="00CE7491"/>
    <w:rsid w:val="00CF0E31"/>
    <w:rsid w:val="00D04A5F"/>
    <w:rsid w:val="00D071AF"/>
    <w:rsid w:val="00D70A3F"/>
    <w:rsid w:val="00D71D7F"/>
    <w:rsid w:val="00DD6522"/>
    <w:rsid w:val="00DF0193"/>
    <w:rsid w:val="00E0187D"/>
    <w:rsid w:val="00E25A62"/>
    <w:rsid w:val="00E825BA"/>
    <w:rsid w:val="00E842AF"/>
    <w:rsid w:val="00E97522"/>
    <w:rsid w:val="00EA3CF9"/>
    <w:rsid w:val="00EC2758"/>
    <w:rsid w:val="00EE4B6E"/>
    <w:rsid w:val="00EE6D2C"/>
    <w:rsid w:val="00EF544C"/>
    <w:rsid w:val="00F523F8"/>
    <w:rsid w:val="00F60E58"/>
    <w:rsid w:val="00F7165E"/>
    <w:rsid w:val="00FC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69BB"/>
  <w15:chartTrackingRefBased/>
  <w15:docId w15:val="{B0A911B1-B469-4DF9-AE95-977A521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4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46"/>
    <w:pPr>
      <w:ind w:left="720"/>
      <w:contextualSpacing/>
    </w:pPr>
  </w:style>
  <w:style w:type="paragraph" w:styleId="FootnoteText">
    <w:name w:val="footnote text"/>
    <w:basedOn w:val="Normal"/>
    <w:link w:val="FootnoteTextChar"/>
    <w:uiPriority w:val="99"/>
    <w:unhideWhenUsed/>
    <w:rsid w:val="00144746"/>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44746"/>
    <w:rPr>
      <w:rFonts w:ascii="Times New Roman" w:hAnsi="Times New Roman"/>
      <w:sz w:val="20"/>
      <w:szCs w:val="20"/>
    </w:rPr>
  </w:style>
  <w:style w:type="character" w:styleId="FootnoteReference">
    <w:name w:val="footnote reference"/>
    <w:basedOn w:val="DefaultParagraphFont"/>
    <w:uiPriority w:val="99"/>
    <w:semiHidden/>
    <w:unhideWhenUsed/>
    <w:rsid w:val="00144746"/>
    <w:rPr>
      <w:vertAlign w:val="superscript"/>
    </w:rPr>
  </w:style>
  <w:style w:type="character" w:styleId="CommentReference">
    <w:name w:val="annotation reference"/>
    <w:basedOn w:val="DefaultParagraphFont"/>
    <w:uiPriority w:val="99"/>
    <w:semiHidden/>
    <w:unhideWhenUsed/>
    <w:rsid w:val="00C621F0"/>
    <w:rPr>
      <w:sz w:val="16"/>
      <w:szCs w:val="16"/>
    </w:rPr>
  </w:style>
  <w:style w:type="paragraph" w:styleId="CommentText">
    <w:name w:val="annotation text"/>
    <w:basedOn w:val="Normal"/>
    <w:link w:val="CommentTextChar"/>
    <w:uiPriority w:val="99"/>
    <w:semiHidden/>
    <w:unhideWhenUsed/>
    <w:rsid w:val="00C621F0"/>
  </w:style>
  <w:style w:type="character" w:customStyle="1" w:styleId="CommentTextChar">
    <w:name w:val="Comment Text Char"/>
    <w:basedOn w:val="DefaultParagraphFont"/>
    <w:link w:val="CommentText"/>
    <w:uiPriority w:val="99"/>
    <w:semiHidden/>
    <w:rsid w:val="00C621F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21F0"/>
    <w:rPr>
      <w:b/>
      <w:bCs/>
    </w:rPr>
  </w:style>
  <w:style w:type="character" w:customStyle="1" w:styleId="CommentSubjectChar">
    <w:name w:val="Comment Subject Char"/>
    <w:basedOn w:val="CommentTextChar"/>
    <w:link w:val="CommentSubject"/>
    <w:uiPriority w:val="99"/>
    <w:semiHidden/>
    <w:rsid w:val="00C621F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62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F0"/>
    <w:rPr>
      <w:rFonts w:ascii="Segoe UI" w:eastAsiaTheme="minorEastAsia" w:hAnsi="Segoe UI" w:cs="Segoe UI"/>
      <w:sz w:val="18"/>
      <w:szCs w:val="18"/>
    </w:rPr>
  </w:style>
  <w:style w:type="paragraph" w:customStyle="1" w:styleId="Level1">
    <w:name w:val="Level 1"/>
    <w:uiPriority w:val="99"/>
    <w:rsid w:val="00F60E58"/>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C6E3E"/>
    <w:pPr>
      <w:tabs>
        <w:tab w:val="center" w:pos="4680"/>
        <w:tab w:val="right" w:pos="9360"/>
      </w:tabs>
    </w:pPr>
  </w:style>
  <w:style w:type="character" w:customStyle="1" w:styleId="HeaderChar">
    <w:name w:val="Header Char"/>
    <w:basedOn w:val="DefaultParagraphFont"/>
    <w:link w:val="Header"/>
    <w:uiPriority w:val="99"/>
    <w:rsid w:val="000C6E3E"/>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0C6E3E"/>
    <w:pPr>
      <w:tabs>
        <w:tab w:val="center" w:pos="4680"/>
        <w:tab w:val="right" w:pos="9360"/>
      </w:tabs>
    </w:pPr>
  </w:style>
  <w:style w:type="character" w:customStyle="1" w:styleId="FooterChar">
    <w:name w:val="Footer Char"/>
    <w:basedOn w:val="DefaultParagraphFont"/>
    <w:link w:val="Footer"/>
    <w:uiPriority w:val="99"/>
    <w:rsid w:val="000C6E3E"/>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0593">
      <w:bodyDiv w:val="1"/>
      <w:marLeft w:val="0"/>
      <w:marRight w:val="0"/>
      <w:marTop w:val="0"/>
      <w:marBottom w:val="0"/>
      <w:divBdr>
        <w:top w:val="none" w:sz="0" w:space="0" w:color="auto"/>
        <w:left w:val="none" w:sz="0" w:space="0" w:color="auto"/>
        <w:bottom w:val="none" w:sz="0" w:space="0" w:color="auto"/>
        <w:right w:val="none" w:sz="0" w:space="0" w:color="auto"/>
      </w:divBdr>
    </w:div>
    <w:div w:id="12084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Christy</dc:creator>
  <cp:keywords/>
  <dc:description/>
  <cp:lastModifiedBy>Andrew</cp:lastModifiedBy>
  <cp:revision>80</cp:revision>
  <cp:lastPrinted>2018-03-14T17:19:00Z</cp:lastPrinted>
  <dcterms:created xsi:type="dcterms:W3CDTF">2018-10-26T16:52:00Z</dcterms:created>
  <dcterms:modified xsi:type="dcterms:W3CDTF">2021-02-17T20:29:00Z</dcterms:modified>
</cp:coreProperties>
</file>